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2618346E"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5B403969" w14:textId="143E17CC" w:rsidR="00837DF1" w:rsidRPr="00B42F7B" w:rsidRDefault="00837DF1" w:rsidP="00623E67">
      <w:pPr>
        <w:pBdr>
          <w:top w:val="single" w:sz="4" w:space="1" w:color="auto"/>
          <w:left w:val="single" w:sz="4" w:space="4" w:color="auto"/>
          <w:bottom w:val="single" w:sz="4" w:space="1" w:color="auto"/>
          <w:right w:val="single" w:sz="4" w:space="4" w:color="auto"/>
        </w:pBdr>
        <w:jc w:val="center"/>
        <w:rPr>
          <w:b/>
          <w:sz w:val="28"/>
        </w:rPr>
      </w:pPr>
      <w:r w:rsidRPr="00B42F7B">
        <w:rPr>
          <w:b/>
          <w:sz w:val="28"/>
        </w:rPr>
        <w:t xml:space="preserve">N°: </w:t>
      </w:r>
      <w:r w:rsidR="000A7C73">
        <w:rPr>
          <w:b/>
          <w:sz w:val="28"/>
        </w:rPr>
        <w:t>25-AC9312</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6AE96D4" w14:textId="77777777" w:rsidR="00946028" w:rsidRDefault="00946028" w:rsidP="001B3C9D">
      <w:pPr>
        <w:tabs>
          <w:tab w:val="right" w:pos="9327"/>
          <w:tab w:val="left" w:pos="10977"/>
        </w:tabs>
        <w:spacing w:after="240" w:afterAutospacing="0"/>
        <w:jc w:val="both"/>
        <w:rPr>
          <w:sz w:val="24"/>
          <w:u w:val="single"/>
        </w:rPr>
      </w:pPr>
    </w:p>
    <w:p w14:paraId="1B9F8195" w14:textId="77777777" w:rsidR="00946028" w:rsidRDefault="00946028" w:rsidP="001B3C9D">
      <w:pPr>
        <w:tabs>
          <w:tab w:val="right" w:pos="9327"/>
          <w:tab w:val="left" w:pos="10977"/>
        </w:tabs>
        <w:spacing w:after="240" w:afterAutospacing="0"/>
        <w:jc w:val="both"/>
        <w:rPr>
          <w:sz w:val="24"/>
          <w:u w:val="single"/>
        </w:rPr>
      </w:pPr>
    </w:p>
    <w:p w14:paraId="5BC57B74" w14:textId="77777777" w:rsidR="00946028" w:rsidRDefault="00946028" w:rsidP="001B3C9D">
      <w:pPr>
        <w:tabs>
          <w:tab w:val="right" w:pos="9327"/>
          <w:tab w:val="left" w:pos="10977"/>
        </w:tabs>
        <w:spacing w:after="240" w:afterAutospacing="0"/>
        <w:jc w:val="both"/>
        <w:rPr>
          <w:sz w:val="24"/>
          <w:u w:val="single"/>
        </w:rPr>
      </w:pPr>
    </w:p>
    <w:p w14:paraId="121CC1BA" w14:textId="77777777" w:rsidR="00946028" w:rsidRDefault="00946028"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946028" w:rsidRDefault="00F26086" w:rsidP="00160DE3">
      <w:pPr>
        <w:tabs>
          <w:tab w:val="right" w:pos="9356"/>
        </w:tabs>
        <w:spacing w:before="0" w:beforeAutospacing="0" w:after="0" w:afterAutospacing="0" w:line="300" w:lineRule="atLeast"/>
        <w:jc w:val="both"/>
        <w:rPr>
          <w:sz w:val="22"/>
          <w:szCs w:val="22"/>
        </w:rPr>
      </w:pPr>
      <w:r w:rsidRPr="00946028">
        <w:rPr>
          <w:sz w:val="22"/>
          <w:szCs w:val="22"/>
        </w:rPr>
        <w:t>Le présent contrat est soumis au Code de la commande publique français (CCP) dans sa version en vigueur issue de l'</w:t>
      </w:r>
      <w:hyperlink r:id="rId8" w:history="1">
        <w:r w:rsidRPr="00946028">
          <w:rPr>
            <w:sz w:val="22"/>
            <w:szCs w:val="22"/>
          </w:rPr>
          <w:t>ordonnance n° 2018-1074 du 26 novembre 2018</w:t>
        </w:r>
      </w:hyperlink>
      <w:r w:rsidRPr="00946028">
        <w:rPr>
          <w:sz w:val="22"/>
          <w:szCs w:val="22"/>
        </w:rPr>
        <w:t xml:space="preserve"> portant partie législative et du </w:t>
      </w:r>
      <w:hyperlink r:id="rId9" w:history="1">
        <w:r w:rsidRPr="00946028">
          <w:rPr>
            <w:sz w:val="22"/>
            <w:szCs w:val="22"/>
          </w:rPr>
          <w:t>décret n° 2018-1075 du 3 décembre 2018</w:t>
        </w:r>
      </w:hyperlink>
      <w:r w:rsidRPr="00946028">
        <w:rPr>
          <w:sz w:val="22"/>
          <w:szCs w:val="22"/>
        </w:rPr>
        <w:t xml:space="preserve"> portant partie réglementaire du Code de la commande publique.</w:t>
      </w:r>
    </w:p>
    <w:p w14:paraId="1EB010DC" w14:textId="79666A04" w:rsidR="00F26086" w:rsidRPr="00946028" w:rsidRDefault="00F26086" w:rsidP="00F26086">
      <w:pPr>
        <w:tabs>
          <w:tab w:val="left" w:pos="510"/>
          <w:tab w:val="left" w:pos="10977"/>
        </w:tabs>
        <w:spacing w:before="120"/>
        <w:ind w:right="83"/>
        <w:jc w:val="both"/>
        <w:rPr>
          <w:sz w:val="22"/>
          <w:szCs w:val="22"/>
        </w:rPr>
      </w:pPr>
      <w:r w:rsidRPr="00946028">
        <w:rPr>
          <w:sz w:val="22"/>
          <w:szCs w:val="22"/>
        </w:rPr>
        <w:t>Il est passé par</w:t>
      </w:r>
      <w:r w:rsidR="00946028">
        <w:rPr>
          <w:sz w:val="22"/>
          <w:szCs w:val="22"/>
        </w:rPr>
        <w:t xml:space="preserve"> </w:t>
      </w:r>
      <w:r w:rsidRPr="00946028">
        <w:rPr>
          <w:sz w:val="22"/>
          <w:szCs w:val="22"/>
        </w:rPr>
        <w:t>appel d’offres ouvert en application des articles L. 2124-2, R. 2161-2, R. 2161-3, R. 2161-4 et R. 2161-5 du CCP</w:t>
      </w:r>
      <w:r w:rsidR="00946028">
        <w:rPr>
          <w:sz w:val="22"/>
          <w:szCs w:val="22"/>
        </w:rPr>
        <w:t>.</w:t>
      </w:r>
    </w:p>
    <w:p w14:paraId="2D6F566B" w14:textId="77777777" w:rsidR="00946028" w:rsidRDefault="00A62B15" w:rsidP="00D36DF6">
      <w:pPr>
        <w:tabs>
          <w:tab w:val="right" w:pos="9327"/>
        </w:tabs>
        <w:spacing w:before="0" w:beforeAutospacing="0" w:after="0" w:afterAutospacing="0"/>
        <w:rPr>
          <w:sz w:val="22"/>
          <w:szCs w:val="22"/>
        </w:rPr>
      </w:pPr>
      <w:r w:rsidRPr="00946028">
        <w:rPr>
          <w:sz w:val="22"/>
          <w:szCs w:val="22"/>
        </w:rPr>
        <w:t>Accord-cadre à bons de commande s’entendent au sens des</w:t>
      </w:r>
      <w:r w:rsidR="00AC53CA" w:rsidRPr="00946028">
        <w:rPr>
          <w:sz w:val="22"/>
          <w:szCs w:val="22"/>
        </w:rPr>
        <w:t xml:space="preserve"> articles R. 2162-1 et R.2162-</w:t>
      </w:r>
      <w:r w:rsidRPr="00946028">
        <w:rPr>
          <w:sz w:val="22"/>
          <w:szCs w:val="22"/>
        </w:rPr>
        <w:t>14 du CCP</w:t>
      </w:r>
      <w:r w:rsidR="00AC53CA" w:rsidRPr="00946028">
        <w:rPr>
          <w:sz w:val="22"/>
          <w:szCs w:val="22"/>
        </w:rPr>
        <w:t>.</w:t>
      </w:r>
    </w:p>
    <w:p w14:paraId="0930B2E3" w14:textId="37E7E896" w:rsidR="00ED47AF" w:rsidRDefault="00AB2410" w:rsidP="00D36DF6">
      <w:pPr>
        <w:tabs>
          <w:tab w:val="right" w:pos="9327"/>
        </w:tabs>
        <w:spacing w:before="0" w:beforeAutospacing="0" w:after="0" w:afterAutospacing="0"/>
        <w:rPr>
          <w:sz w:val="22"/>
          <w:szCs w:val="22"/>
        </w:rPr>
      </w:pPr>
      <w:r>
        <w:rPr>
          <w:sz w:val="22"/>
          <w:szCs w:val="22"/>
        </w:rPr>
        <w:t xml:space="preserve">Il est mono attributaire au sens de l’article L2125-1 du CCP. </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7440C027" w:rsidR="00706AD0" w:rsidRDefault="00706AD0" w:rsidP="005A6E25">
      <w:pPr>
        <w:spacing w:before="0" w:beforeAutospacing="0" w:after="0" w:afterAutospacing="0"/>
        <w:jc w:val="both"/>
        <w:rPr>
          <w:sz w:val="24"/>
        </w:rPr>
      </w:pPr>
      <w:r w:rsidRPr="000B56AA">
        <w:rPr>
          <w:sz w:val="24"/>
        </w:rPr>
        <w:t>Adresse</w:t>
      </w:r>
      <w:r w:rsidR="00946028">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73189239"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946028">
        <w:rPr>
          <w:sz w:val="24"/>
        </w:rPr>
        <w:t xml:space="preserve"> </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proofErr w:type="gramStart"/>
      <w:r>
        <w:rPr>
          <w:sz w:val="24"/>
        </w:rPr>
        <w:t>r</w:t>
      </w:r>
      <w:r w:rsidR="006226CE" w:rsidRPr="006226CE">
        <w:rPr>
          <w:sz w:val="24"/>
        </w:rPr>
        <w:t>eprésentée</w:t>
      </w:r>
      <w:proofErr w:type="gramEnd"/>
      <w:r w:rsidR="006226CE" w:rsidRPr="006226CE">
        <w:rPr>
          <w:sz w:val="24"/>
        </w:rPr>
        <w:t xml:space="preserv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1"/>
        <w:gridCol w:w="5925"/>
      </w:tblGrid>
      <w:tr w:rsidR="005A6E25" w:rsidRPr="00B42F7B" w14:paraId="60B4918E" w14:textId="77777777" w:rsidTr="00946028">
        <w:tc>
          <w:tcPr>
            <w:tcW w:w="3431" w:type="dxa"/>
          </w:tcPr>
          <w:p w14:paraId="54085DF5" w14:textId="7A3BC294" w:rsidR="005A6E25" w:rsidRPr="00B42F7B" w:rsidRDefault="008F4CDB" w:rsidP="00946028">
            <w:pPr>
              <w:spacing w:before="120" w:beforeAutospacing="0" w:after="120" w:afterAutospacing="0"/>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5925" w:type="dxa"/>
            <w:vAlign w:val="center"/>
          </w:tcPr>
          <w:p w14:paraId="600952A6" w14:textId="77777777" w:rsidR="005A6E25" w:rsidRPr="00B42F7B" w:rsidRDefault="005A6E25" w:rsidP="00946028">
            <w:pPr>
              <w:spacing w:before="120" w:beforeAutospacing="0" w:after="120" w:afterAutospacing="0"/>
              <w:jc w:val="both"/>
              <w:rPr>
                <w:sz w:val="24"/>
              </w:rPr>
            </w:pPr>
          </w:p>
        </w:tc>
      </w:tr>
      <w:tr w:rsidR="005A6E25" w:rsidRPr="00361126" w14:paraId="74F6A95A" w14:textId="77777777" w:rsidTr="00946028">
        <w:tc>
          <w:tcPr>
            <w:tcW w:w="9356" w:type="dxa"/>
            <w:gridSpan w:val="2"/>
            <w:vAlign w:val="center"/>
          </w:tcPr>
          <w:p w14:paraId="0A40D9F8" w14:textId="17D0144C" w:rsidR="005A6E25" w:rsidRPr="00016373" w:rsidRDefault="00016373" w:rsidP="00946028">
            <w:pPr>
              <w:spacing w:before="120" w:beforeAutospacing="0" w:after="120" w:afterAutospacing="0"/>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946028">
        <w:tc>
          <w:tcPr>
            <w:tcW w:w="3431" w:type="dxa"/>
          </w:tcPr>
          <w:p w14:paraId="6675AB07" w14:textId="3F1232A5" w:rsidR="005A6E25" w:rsidRPr="00B42F7B" w:rsidRDefault="00016373" w:rsidP="00946028">
            <w:pPr>
              <w:spacing w:before="120" w:beforeAutospacing="0" w:after="120" w:afterAutospacing="0"/>
              <w:rPr>
                <w:b/>
                <w:sz w:val="24"/>
                <w:highlight w:val="yellow"/>
              </w:rPr>
            </w:pPr>
            <w:r>
              <w:rPr>
                <w:b/>
                <w:sz w:val="24"/>
                <w:highlight w:val="yellow"/>
              </w:rPr>
              <w:t>Forme juridique official</w:t>
            </w:r>
          </w:p>
        </w:tc>
        <w:tc>
          <w:tcPr>
            <w:tcW w:w="5925" w:type="dxa"/>
            <w:vAlign w:val="center"/>
          </w:tcPr>
          <w:p w14:paraId="4B2F1F62" w14:textId="77777777" w:rsidR="005A6E25" w:rsidRPr="00B42F7B" w:rsidRDefault="005A6E25" w:rsidP="00946028">
            <w:pPr>
              <w:spacing w:before="120" w:beforeAutospacing="0" w:after="120" w:afterAutospacing="0"/>
              <w:jc w:val="both"/>
              <w:rPr>
                <w:sz w:val="24"/>
                <w:highlight w:val="green"/>
              </w:rPr>
            </w:pPr>
          </w:p>
        </w:tc>
      </w:tr>
      <w:tr w:rsidR="005A6E25" w:rsidRPr="00B42F7B" w14:paraId="2D137923" w14:textId="77777777" w:rsidTr="00946028">
        <w:trPr>
          <w:trHeight w:val="659"/>
        </w:trPr>
        <w:tc>
          <w:tcPr>
            <w:tcW w:w="3431" w:type="dxa"/>
          </w:tcPr>
          <w:p w14:paraId="0A839CE1" w14:textId="1A6CF1D4" w:rsidR="005A6E25" w:rsidRPr="00B42F7B" w:rsidRDefault="00016373" w:rsidP="00946028">
            <w:pPr>
              <w:spacing w:before="120" w:beforeAutospacing="0" w:after="120" w:afterAutospacing="0"/>
              <w:rPr>
                <w:b/>
                <w:sz w:val="24"/>
                <w:highlight w:val="yellow"/>
              </w:rPr>
            </w:pPr>
            <w:r>
              <w:rPr>
                <w:b/>
                <w:sz w:val="24"/>
                <w:highlight w:val="yellow"/>
              </w:rPr>
              <w:t>A</w:t>
            </w:r>
            <w:r w:rsidRPr="00016373">
              <w:rPr>
                <w:b/>
                <w:sz w:val="24"/>
                <w:highlight w:val="yellow"/>
              </w:rPr>
              <w:t xml:space="preserve">dresse officielle complète </w:t>
            </w:r>
          </w:p>
        </w:tc>
        <w:tc>
          <w:tcPr>
            <w:tcW w:w="5925" w:type="dxa"/>
            <w:vAlign w:val="center"/>
          </w:tcPr>
          <w:p w14:paraId="76260ED2" w14:textId="77777777" w:rsidR="005A6E25" w:rsidRPr="00B42F7B" w:rsidRDefault="005A6E25" w:rsidP="00946028">
            <w:pPr>
              <w:spacing w:before="120" w:beforeAutospacing="0" w:after="120" w:afterAutospacing="0"/>
              <w:jc w:val="both"/>
              <w:rPr>
                <w:sz w:val="24"/>
                <w:highlight w:val="green"/>
              </w:rPr>
            </w:pPr>
          </w:p>
        </w:tc>
      </w:tr>
      <w:tr w:rsidR="005A6E25" w:rsidRPr="00B42F7B" w14:paraId="0952FE0F" w14:textId="77777777" w:rsidTr="00946028">
        <w:tc>
          <w:tcPr>
            <w:tcW w:w="3431" w:type="dxa"/>
          </w:tcPr>
          <w:p w14:paraId="5F1B0E74" w14:textId="14D19009" w:rsidR="005A6E25" w:rsidRPr="00B42F7B" w:rsidRDefault="00016373" w:rsidP="00946028">
            <w:pPr>
              <w:spacing w:before="120" w:beforeAutospacing="0" w:after="120" w:afterAutospacing="0"/>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5925" w:type="dxa"/>
            <w:vAlign w:val="center"/>
          </w:tcPr>
          <w:p w14:paraId="2C0650B5" w14:textId="77777777" w:rsidR="005A6E25" w:rsidRPr="00B42F7B" w:rsidRDefault="005A6E25" w:rsidP="00946028">
            <w:pPr>
              <w:spacing w:before="120" w:beforeAutospacing="0" w:after="120" w:afterAutospacing="0"/>
              <w:jc w:val="both"/>
              <w:rPr>
                <w:sz w:val="24"/>
                <w:highlight w:val="green"/>
              </w:rPr>
            </w:pPr>
          </w:p>
        </w:tc>
      </w:tr>
      <w:tr w:rsidR="005A6E25" w:rsidRPr="00361126" w14:paraId="70AAEC57" w14:textId="77777777" w:rsidTr="00946028">
        <w:tc>
          <w:tcPr>
            <w:tcW w:w="3431" w:type="dxa"/>
          </w:tcPr>
          <w:p w14:paraId="4FE931CE" w14:textId="71F40EF0" w:rsidR="005A6E25" w:rsidRPr="00016373" w:rsidRDefault="00F26086" w:rsidP="00946028">
            <w:pPr>
              <w:spacing w:before="120" w:beforeAutospacing="0" w:after="120" w:afterAutospacing="0"/>
              <w:rPr>
                <w:b/>
                <w:sz w:val="24"/>
                <w:highlight w:val="yellow"/>
              </w:rPr>
            </w:pPr>
            <w:r>
              <w:rPr>
                <w:b/>
                <w:sz w:val="24"/>
                <w:highlight w:val="yellow"/>
              </w:rPr>
              <w:t>Numéro du registre</w:t>
            </w:r>
            <w:r w:rsidR="00016373" w:rsidRPr="00016373">
              <w:rPr>
                <w:b/>
                <w:sz w:val="24"/>
                <w:highlight w:val="yellow"/>
              </w:rPr>
              <w:t xml:space="preserve"> de la TVA</w:t>
            </w:r>
          </w:p>
        </w:tc>
        <w:tc>
          <w:tcPr>
            <w:tcW w:w="5925" w:type="dxa"/>
            <w:vAlign w:val="center"/>
          </w:tcPr>
          <w:p w14:paraId="40289A0E" w14:textId="77777777" w:rsidR="005A6E25" w:rsidRPr="00016373" w:rsidRDefault="005A6E25" w:rsidP="00946028">
            <w:pPr>
              <w:spacing w:before="120" w:beforeAutospacing="0" w:after="120" w:afterAutospacing="0"/>
              <w:jc w:val="both"/>
              <w:rPr>
                <w:sz w:val="24"/>
                <w:highlight w:val="green"/>
              </w:rPr>
            </w:pPr>
          </w:p>
        </w:tc>
      </w:tr>
    </w:tbl>
    <w:p w14:paraId="6839BCF7" w14:textId="0B1BECD7" w:rsidR="005A6E25" w:rsidRPr="00016373" w:rsidRDefault="00016373" w:rsidP="005A6E25">
      <w:pPr>
        <w:jc w:val="both"/>
        <w:rPr>
          <w:sz w:val="24"/>
        </w:rPr>
      </w:pPr>
      <w:proofErr w:type="gramStart"/>
      <w:r w:rsidRPr="00016373">
        <w:rPr>
          <w:sz w:val="24"/>
        </w:rPr>
        <w:t>représenté</w:t>
      </w:r>
      <w:proofErr w:type="gramEnd"/>
      <w:r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946028">
            <w:pPr>
              <w:spacing w:before="120" w:beforeAutospacing="0" w:after="120" w:afterAutospacing="0"/>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946028">
        <w:tc>
          <w:tcPr>
            <w:tcW w:w="2410" w:type="dxa"/>
            <w:vAlign w:val="center"/>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5913DA50" w14:textId="69AB1902" w:rsidR="00946028" w:rsidRDefault="00BB3D0B" w:rsidP="00946028">
            <w:pPr>
              <w:spacing w:before="120" w:beforeAutospacing="0" w:after="120" w:afterAutospacing="0"/>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w:t>
            </w:r>
            <w:r w:rsidR="00946028">
              <w:rPr>
                <w:sz w:val="24"/>
              </w:rPr>
              <w:t xml:space="preserve"> </w:t>
            </w:r>
            <w:r w:rsidR="005A6E25" w:rsidRPr="00B42F7B">
              <w:rPr>
                <w:sz w:val="24"/>
              </w:rPr>
              <w:t>:</w:t>
            </w:r>
          </w:p>
          <w:p w14:paraId="749E205A" w14:textId="0738B7D5" w:rsidR="005A6E25" w:rsidRPr="00B42F7B" w:rsidRDefault="00BB3D0B" w:rsidP="00946028">
            <w:pPr>
              <w:spacing w:before="120" w:beforeAutospacing="0" w:after="120" w:afterAutospacing="0"/>
              <w:rPr>
                <w:sz w:val="24"/>
              </w:rPr>
            </w:pPr>
            <w:r>
              <w:rPr>
                <w:sz w:val="24"/>
              </w:rPr>
              <w:t xml:space="preserve">Prénom </w:t>
            </w:r>
            <w:r w:rsidR="005A6E25" w:rsidRPr="00B42F7B">
              <w:rPr>
                <w:sz w:val="24"/>
              </w:rPr>
              <w:t>:</w:t>
            </w:r>
          </w:p>
        </w:tc>
      </w:tr>
      <w:tr w:rsidR="005A6E25" w:rsidRPr="00B42F7B" w14:paraId="0DC4DE27" w14:textId="77777777" w:rsidTr="00946028">
        <w:tc>
          <w:tcPr>
            <w:tcW w:w="2410" w:type="dxa"/>
            <w:vAlign w:val="center"/>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946028">
            <w:pPr>
              <w:spacing w:before="120" w:beforeAutospacing="0" w:after="120" w:afterAutospacing="0"/>
              <w:jc w:val="both"/>
              <w:rPr>
                <w:sz w:val="24"/>
              </w:rPr>
            </w:pPr>
          </w:p>
        </w:tc>
      </w:tr>
      <w:tr w:rsidR="005A6E25" w:rsidRPr="00BB3D0B" w14:paraId="692D4F1C" w14:textId="77777777" w:rsidTr="00946028">
        <w:tc>
          <w:tcPr>
            <w:tcW w:w="2410" w:type="dxa"/>
            <w:vAlign w:val="center"/>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4F53BB4" w14:textId="7F00649E" w:rsidR="00946028" w:rsidRDefault="00BB3D0B" w:rsidP="00946028">
            <w:pPr>
              <w:spacing w:before="120" w:beforeAutospacing="0" w:after="120" w:afterAutospacing="0"/>
              <w:rPr>
                <w:sz w:val="24"/>
              </w:rPr>
            </w:pPr>
            <w:r w:rsidRPr="00BB3D0B">
              <w:rPr>
                <w:sz w:val="24"/>
              </w:rPr>
              <w:t xml:space="preserve">Téléphone (ligne directe) </w:t>
            </w:r>
            <w:r w:rsidR="005A6E25" w:rsidRPr="00BB3D0B">
              <w:rPr>
                <w:sz w:val="24"/>
              </w:rPr>
              <w:t>:</w:t>
            </w:r>
          </w:p>
          <w:p w14:paraId="7B1ED70F" w14:textId="4D2107E5" w:rsidR="005A6E25" w:rsidRPr="00BB3D0B" w:rsidRDefault="00BB3D0B" w:rsidP="00946028">
            <w:pPr>
              <w:spacing w:before="120" w:beforeAutospacing="0" w:after="120" w:afterAutospacing="0"/>
              <w:rPr>
                <w:sz w:val="24"/>
              </w:rPr>
            </w:pPr>
            <w:r w:rsidRPr="00BB3D0B">
              <w:rPr>
                <w:sz w:val="24"/>
              </w:rPr>
              <w:t>Courriel</w:t>
            </w:r>
            <w:r>
              <w:rPr>
                <w:sz w:val="24"/>
              </w:rPr>
              <w:t xml:space="preserve"> </w:t>
            </w:r>
            <w:r w:rsidR="005A6E25" w:rsidRPr="00BB3D0B">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proofErr w:type="spellStart"/>
            <w:r w:rsidR="00E63F0A">
              <w:rPr>
                <w:b/>
                <w:sz w:val="24"/>
                <w:highlight w:val="yellow"/>
              </w:rPr>
              <w:t>immatriculation</w:t>
            </w:r>
            <w:r w:rsidRPr="00016373">
              <w:rPr>
                <w:b/>
                <w:sz w:val="24"/>
                <w:highlight w:val="yellow"/>
              </w:rPr>
              <w:t>de</w:t>
            </w:r>
            <w:proofErr w:type="spellEnd"/>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479D6BF9" w14:textId="2128A790" w:rsidR="00BF734E" w:rsidRDefault="006C15A1" w:rsidP="00BF734E">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r w:rsidR="00B75F07">
        <w:rPr>
          <w:sz w:val="24"/>
        </w:rPr>
        <w:t xml:space="preserve"> </w:t>
      </w:r>
      <w:r w:rsidR="00B75F07" w:rsidRPr="00837DF1">
        <w:rPr>
          <w:sz w:val="24"/>
        </w:rPr>
        <w:t>«</w:t>
      </w:r>
      <w:r w:rsidR="00B75F07" w:rsidRPr="00FC30AF">
        <w:rPr>
          <w:sz w:val="24"/>
        </w:rPr>
        <w:t xml:space="preserve"> Contractant</w:t>
      </w:r>
      <w:r w:rsidR="00B75F07">
        <w:rPr>
          <w:sz w:val="24"/>
        </w:rPr>
        <w:t xml:space="preserve"> </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Pr="00E9243B">
        <w:rPr>
          <w:sz w:val="24"/>
        </w:rPr>
        <w:t>.]</w:t>
      </w:r>
      <w:r w:rsidR="0021060A" w:rsidRPr="00E9243B">
        <w:rPr>
          <w:sz w:val="24"/>
        </w:rPr>
        <w:t xml:space="preserve"> </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proofErr w:type="gramStart"/>
      <w:r w:rsidRPr="00A861C5">
        <w:rPr>
          <w:sz w:val="24"/>
        </w:rPr>
        <w:t>des</w:t>
      </w:r>
      <w:proofErr w:type="gramEnd"/>
      <w:r w:rsidRPr="00A861C5">
        <w:rPr>
          <w:sz w:val="24"/>
        </w:rPr>
        <w:t xml:space="preserve">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1FFACB79" w:rsidR="00A861C5" w:rsidRPr="00A861C5" w:rsidRDefault="00A861C5" w:rsidP="00A861C5">
      <w:pPr>
        <w:ind w:left="1560" w:hanging="1560"/>
        <w:jc w:val="both"/>
      </w:pPr>
      <w:r w:rsidRPr="00A861C5">
        <w:rPr>
          <w:b/>
          <w:sz w:val="24"/>
        </w:rPr>
        <w:t>Annexe I</w:t>
      </w:r>
      <w:r w:rsidR="00946028">
        <w:rPr>
          <w:b/>
          <w:sz w:val="24"/>
        </w:rPr>
        <w:t> :</w:t>
      </w:r>
      <w:r w:rsidRPr="00A861C5">
        <w:rPr>
          <w:b/>
          <w:sz w:val="24"/>
        </w:rPr>
        <w:tab/>
      </w:r>
      <w:r w:rsidRPr="00A861C5">
        <w:rPr>
          <w:sz w:val="24"/>
        </w:rPr>
        <w:t>Cahier des charges</w:t>
      </w:r>
      <w:r w:rsidR="00946028">
        <w:rPr>
          <w:sz w:val="24"/>
        </w:rPr>
        <w:t> ;</w:t>
      </w:r>
    </w:p>
    <w:p w14:paraId="6EF33CD0" w14:textId="6CD96074" w:rsidR="00A861C5" w:rsidRPr="00A861C5" w:rsidRDefault="00A861C5" w:rsidP="00A861C5">
      <w:pPr>
        <w:ind w:left="1560" w:hanging="1560"/>
        <w:jc w:val="both"/>
        <w:rPr>
          <w:b/>
        </w:rPr>
      </w:pPr>
      <w:r w:rsidRPr="00A861C5">
        <w:rPr>
          <w:b/>
          <w:sz w:val="24"/>
        </w:rPr>
        <w:t>Annexe II</w:t>
      </w:r>
      <w:r w:rsidR="00946028">
        <w:rPr>
          <w:sz w:val="24"/>
        </w:rPr>
        <w:t> :</w:t>
      </w:r>
      <w:r w:rsidRPr="00A861C5">
        <w:rPr>
          <w:sz w:val="24"/>
        </w:rPr>
        <w:tab/>
      </w:r>
      <w:r w:rsidR="00946028">
        <w:rPr>
          <w:sz w:val="24"/>
        </w:rPr>
        <w:t>Bordereau des Prix Unitaire</w:t>
      </w:r>
      <w:r w:rsidR="009F433C">
        <w:rPr>
          <w:sz w:val="24"/>
        </w:rPr>
        <w:t>s (simulation financière</w:t>
      </w:r>
      <w:r w:rsidR="00946028">
        <w:rPr>
          <w:sz w:val="24"/>
        </w:rPr>
        <w:t>s</w:t>
      </w:r>
      <w:r w:rsidR="009F433C">
        <w:rPr>
          <w:sz w:val="24"/>
        </w:rPr>
        <w:t>)</w:t>
      </w:r>
      <w:r w:rsidR="00946028">
        <w:rPr>
          <w:sz w:val="24"/>
        </w:rPr>
        <w:t> ;</w:t>
      </w:r>
    </w:p>
    <w:p w14:paraId="67406D9B" w14:textId="63EC281B" w:rsidR="009037DA" w:rsidRDefault="009037DA" w:rsidP="009037DA">
      <w:pPr>
        <w:ind w:left="1560" w:hanging="1560"/>
        <w:jc w:val="both"/>
        <w:rPr>
          <w:sz w:val="24"/>
        </w:rPr>
      </w:pPr>
      <w:r w:rsidRPr="00AF3D29">
        <w:rPr>
          <w:b/>
          <w:sz w:val="24"/>
        </w:rPr>
        <w:t>Annex</w:t>
      </w:r>
      <w:r w:rsidR="00AF3D29" w:rsidRPr="00AF3D29">
        <w:rPr>
          <w:b/>
          <w:sz w:val="24"/>
        </w:rPr>
        <w:t>e</w:t>
      </w:r>
      <w:r w:rsidRPr="00AF3D29">
        <w:rPr>
          <w:b/>
          <w:sz w:val="24"/>
        </w:rPr>
        <w:t xml:space="preserve"> III</w:t>
      </w:r>
      <w:r w:rsidR="00946028">
        <w:rPr>
          <w:sz w:val="24"/>
        </w:rPr>
        <w:t> :</w:t>
      </w:r>
      <w:r w:rsidRPr="00AF3D29">
        <w:rPr>
          <w:sz w:val="24"/>
        </w:rPr>
        <w:tab/>
        <w:t>Déclaration sur l’honneur</w:t>
      </w:r>
      <w:r w:rsidR="00946028">
        <w:rPr>
          <w:sz w:val="24"/>
        </w:rPr>
        <w:t> ;</w:t>
      </w:r>
    </w:p>
    <w:p w14:paraId="4EABAD15" w14:textId="75CB8CAA" w:rsidR="00946028" w:rsidRPr="00946028" w:rsidRDefault="00946028" w:rsidP="00946028">
      <w:pPr>
        <w:ind w:left="1560" w:hanging="1560"/>
        <w:jc w:val="both"/>
        <w:rPr>
          <w:sz w:val="24"/>
        </w:rPr>
      </w:pPr>
      <w:r w:rsidRPr="00AF3D29">
        <w:rPr>
          <w:b/>
          <w:sz w:val="24"/>
        </w:rPr>
        <w:t>Annexe I</w:t>
      </w:r>
      <w:r>
        <w:rPr>
          <w:b/>
          <w:sz w:val="24"/>
        </w:rPr>
        <w:t>V</w:t>
      </w:r>
      <w:r>
        <w:rPr>
          <w:sz w:val="24"/>
        </w:rPr>
        <w:t> :</w:t>
      </w:r>
      <w:r w:rsidRPr="00AF3D29">
        <w:rPr>
          <w:sz w:val="24"/>
        </w:rPr>
        <w:tab/>
      </w:r>
      <w:r>
        <w:rPr>
          <w:sz w:val="24"/>
        </w:rPr>
        <w:t>Formulaire de vérification RGPD.</w:t>
      </w:r>
    </w:p>
    <w:p w14:paraId="7D31481F" w14:textId="03C18DD9" w:rsidR="00A861C5" w:rsidRPr="00A861C5" w:rsidRDefault="00A861C5" w:rsidP="00A861C5">
      <w:pPr>
        <w:jc w:val="both"/>
        <w:rPr>
          <w:sz w:val="24"/>
        </w:rPr>
      </w:pPr>
      <w:proofErr w:type="gramStart"/>
      <w:r w:rsidRPr="00A861C5">
        <w:rPr>
          <w:sz w:val="24"/>
        </w:rPr>
        <w:t>qui</w:t>
      </w:r>
      <w:proofErr w:type="gramEnd"/>
      <w:r w:rsidRPr="00A861C5">
        <w:rPr>
          <w:sz w:val="24"/>
        </w:rPr>
        <w:t xml:space="preserve">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66A8C897" w14:textId="77777777" w:rsidR="00A861C5" w:rsidRPr="00A861C5" w:rsidRDefault="00A861C5" w:rsidP="00A861C5">
      <w:pPr>
        <w:jc w:val="both"/>
        <w:rPr>
          <w:sz w:val="24"/>
        </w:rPr>
      </w:pP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34681377" w14:textId="77777777" w:rsidR="009C4031" w:rsidRDefault="00A861C5" w:rsidP="009C4031">
      <w:pPr>
        <w:numPr>
          <w:ilvl w:val="0"/>
          <w:numId w:val="9"/>
        </w:numPr>
        <w:tabs>
          <w:tab w:val="clear" w:pos="720"/>
          <w:tab w:val="num" w:pos="426"/>
        </w:tabs>
        <w:ind w:left="425" w:hanging="425"/>
        <w:jc w:val="both"/>
        <w:outlineLvl w:val="0"/>
        <w:rPr>
          <w:sz w:val="24"/>
        </w:rPr>
      </w:pPr>
      <w:r w:rsidRPr="00A861C5">
        <w:rPr>
          <w:sz w:val="24"/>
        </w:rPr>
        <w:t>Les dispositions du contrat-cadre prévalent sur celles des bons de commande et des contrats spécifiques.</w:t>
      </w:r>
    </w:p>
    <w:p w14:paraId="2F294626" w14:textId="77777777" w:rsidR="009C4031" w:rsidRDefault="009C4031" w:rsidP="009C4031">
      <w:pPr>
        <w:numPr>
          <w:ilvl w:val="0"/>
          <w:numId w:val="9"/>
        </w:numPr>
        <w:tabs>
          <w:tab w:val="clear" w:pos="720"/>
          <w:tab w:val="num" w:pos="426"/>
        </w:tabs>
        <w:ind w:left="425" w:hanging="425"/>
        <w:jc w:val="both"/>
        <w:outlineLvl w:val="0"/>
        <w:rPr>
          <w:sz w:val="24"/>
        </w:rPr>
      </w:pPr>
      <w:r>
        <w:rPr>
          <w:sz w:val="24"/>
        </w:rPr>
        <w:t>L</w:t>
      </w:r>
      <w:r w:rsidRPr="009C4031">
        <w:rPr>
          <w:sz w:val="24"/>
        </w:rPr>
        <w:t>es actes spéciaux de sous-traitance et leurs avenants, postérieurs à la notification du</w:t>
      </w:r>
      <w:r>
        <w:rPr>
          <w:sz w:val="24"/>
        </w:rPr>
        <w:t xml:space="preserve"> </w:t>
      </w:r>
      <w:r w:rsidRPr="009C4031">
        <w:rPr>
          <w:sz w:val="24"/>
        </w:rPr>
        <w:t>marché</w:t>
      </w:r>
    </w:p>
    <w:p w14:paraId="58EC79B6" w14:textId="423D24A9" w:rsidR="009C4031" w:rsidRDefault="009C4031" w:rsidP="009C4031">
      <w:pPr>
        <w:numPr>
          <w:ilvl w:val="0"/>
          <w:numId w:val="9"/>
        </w:numPr>
        <w:tabs>
          <w:tab w:val="clear" w:pos="720"/>
          <w:tab w:val="num" w:pos="426"/>
        </w:tabs>
        <w:ind w:left="425" w:hanging="425"/>
        <w:jc w:val="both"/>
        <w:outlineLvl w:val="0"/>
        <w:rPr>
          <w:sz w:val="24"/>
        </w:rPr>
      </w:pPr>
      <w:r w:rsidRPr="009C4031">
        <w:rPr>
          <w:sz w:val="24"/>
        </w:rPr>
        <w:t>Le cas échéant,</w:t>
      </w:r>
      <w:r w:rsidRPr="009C4031">
        <w:t xml:space="preserve"> </w:t>
      </w:r>
      <w:r w:rsidRPr="009C4031">
        <w:rPr>
          <w:sz w:val="24"/>
        </w:rPr>
        <w:t>toute autre documentation du titulaire, fournie à l’appui de son offre.</w:t>
      </w:r>
    </w:p>
    <w:p w14:paraId="3EB43C37" w14:textId="77777777" w:rsidR="00191A2F" w:rsidRPr="009C4031" w:rsidRDefault="00191A2F" w:rsidP="009C4031">
      <w:pPr>
        <w:numPr>
          <w:ilvl w:val="0"/>
          <w:numId w:val="9"/>
        </w:numPr>
        <w:tabs>
          <w:tab w:val="clear" w:pos="720"/>
          <w:tab w:val="num" w:pos="426"/>
        </w:tabs>
        <w:ind w:left="425" w:hanging="425"/>
        <w:jc w:val="both"/>
        <w:outlineLvl w:val="0"/>
        <w:rPr>
          <w:sz w:val="24"/>
        </w:rPr>
      </w:pP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4069E717"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946028">
        <w:rPr>
          <w:sz w:val="24"/>
        </w:rPr>
        <w:t>des</w:t>
      </w:r>
      <w:r w:rsidR="00946028">
        <w:t xml:space="preserve"> </w:t>
      </w:r>
      <w:r w:rsidR="00946028">
        <w:rPr>
          <w:sz w:val="24"/>
        </w:rPr>
        <w:t xml:space="preserve">services de portage salarial pour les activités d’Expertise France </w:t>
      </w:r>
      <w:r w:rsidR="00623E67">
        <w:rPr>
          <w:sz w:val="24"/>
        </w:rPr>
        <w:t>au Sénégal</w:t>
      </w:r>
      <w:r w:rsidR="00946028">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11E6DF12"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à sa date de notification</w:t>
      </w:r>
      <w:r w:rsidRPr="00093B58">
        <w:rPr>
          <w:sz w:val="24"/>
        </w:rPr>
        <w:t>.</w:t>
      </w:r>
    </w:p>
    <w:p w14:paraId="5302FFF6" w14:textId="4A904D96" w:rsid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w:t>
      </w:r>
      <w:r w:rsidR="00F2696C">
        <w:rPr>
          <w:sz w:val="24"/>
        </w:rPr>
        <w:t>.</w:t>
      </w:r>
    </w:p>
    <w:p w14:paraId="352252DD" w14:textId="1CD2A4A8" w:rsidR="00093B58" w:rsidRDefault="00093B58" w:rsidP="00E33A17">
      <w:pPr>
        <w:suppressAutoHyphens/>
        <w:ind w:left="851" w:hanging="851"/>
        <w:jc w:val="both"/>
        <w:rPr>
          <w:noProof/>
          <w:color w:val="000000"/>
          <w:sz w:val="24"/>
        </w:rPr>
      </w:pPr>
      <w:r w:rsidRPr="00093B58">
        <w:rPr>
          <w:b/>
          <w:noProof/>
          <w:color w:val="000000"/>
          <w:sz w:val="24"/>
        </w:rPr>
        <w:t>I.2.</w:t>
      </w:r>
      <w:r w:rsidRPr="00093B58">
        <w:rPr>
          <w:b/>
          <w:noProof/>
          <w:sz w:val="24"/>
        </w:rPr>
        <w:t>3</w:t>
      </w:r>
      <w:r w:rsidRPr="00093B58">
        <w:rPr>
          <w:sz w:val="24"/>
        </w:rPr>
        <w:tab/>
      </w:r>
      <w:r w:rsidR="00FB0AD8">
        <w:rPr>
          <w:sz w:val="24"/>
        </w:rPr>
        <w:t>Le CC est conclu pour une durée ferme de 12 mois à compter de sa date de notification.</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5DA931D7" w:rsidR="00093B58" w:rsidRPr="00093B58" w:rsidRDefault="00093B58" w:rsidP="00E33A17">
      <w:pPr>
        <w:suppressAutoHyphens/>
        <w:jc w:val="both"/>
      </w:pPr>
      <w:r w:rsidRPr="00093B58">
        <w:rPr>
          <w:sz w:val="24"/>
        </w:rPr>
        <w:t>Après son expiration, le CC demeure en vigueur à l'égard de ces bons de commande. Ils doivent être exécutés au plus tard</w:t>
      </w:r>
      <w:r w:rsidR="00F2696C">
        <w:rPr>
          <w:sz w:val="24"/>
        </w:rPr>
        <w:t xml:space="preserve"> 6</w:t>
      </w:r>
      <w:r w:rsidRPr="00093B58">
        <w:rPr>
          <w:sz w:val="24"/>
        </w:rPr>
        <w:t xml:space="preserve"> mois après son expiration. </w:t>
      </w:r>
    </w:p>
    <w:p w14:paraId="48CAB2C4" w14:textId="580373E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54AA1C61" w14:textId="5EC92B04" w:rsidR="00093B58" w:rsidRPr="00AC78D7" w:rsidRDefault="00093B58" w:rsidP="00AC78D7">
      <w:pPr>
        <w:jc w:val="both"/>
        <w:rPr>
          <w:sz w:val="28"/>
        </w:rPr>
      </w:pPr>
      <w:r w:rsidRPr="00093B58">
        <w:rPr>
          <w:sz w:val="24"/>
        </w:rPr>
        <w:t xml:space="preserve">Le CC est reconduit tacitement </w:t>
      </w:r>
      <w:r w:rsidR="00746864">
        <w:rPr>
          <w:sz w:val="24"/>
        </w:rPr>
        <w:t>3</w:t>
      </w:r>
      <w:r w:rsidRPr="00093B58">
        <w:rPr>
          <w:sz w:val="24"/>
        </w:rPr>
        <w:t xml:space="preserve"> fois au maximum,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w:t>
      </w:r>
      <w:r w:rsidR="00746864">
        <w:rPr>
          <w:sz w:val="24"/>
        </w:rPr>
        <w:t>information</w:t>
      </w:r>
      <w:r w:rsidRPr="00093B58">
        <w:rPr>
          <w:sz w:val="24"/>
        </w:rPr>
        <w:t xml:space="preserve"> est </w:t>
      </w:r>
      <w:r w:rsidR="00746864">
        <w:rPr>
          <w:sz w:val="24"/>
        </w:rPr>
        <w:t>notifiée</w:t>
      </w:r>
      <w:r w:rsidR="00BC3C45">
        <w:rPr>
          <w:sz w:val="24"/>
        </w:rPr>
        <w:t xml:space="preserve">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p>
    <w:p w14:paraId="768778D8" w14:textId="77777777" w:rsidR="00746864" w:rsidRDefault="00746864">
      <w:pPr>
        <w:spacing w:before="0" w:beforeAutospacing="0" w:after="0" w:afterAutospacing="0"/>
        <w:rPr>
          <w:b/>
          <w:smallCaps/>
          <w:sz w:val="28"/>
          <w:u w:val="single"/>
          <w:lang w:eastAsia="en-US"/>
        </w:rPr>
      </w:pPr>
      <w:r>
        <w:br w:type="page"/>
      </w:r>
    </w:p>
    <w:p w14:paraId="3D5C5A72" w14:textId="668424DF" w:rsidR="00AC78D7" w:rsidRPr="00AC78D7" w:rsidRDefault="00AC78D7" w:rsidP="00AC78D7">
      <w:pPr>
        <w:pStyle w:val="Titre2"/>
      </w:pPr>
      <w:r w:rsidRPr="00AC78D7">
        <w:lastRenderedPageBreak/>
        <w:t>Article I.3 – Prix</w:t>
      </w:r>
    </w:p>
    <w:p w14:paraId="41BD7182" w14:textId="77777777" w:rsidR="00F2696C" w:rsidRDefault="00AC78D7" w:rsidP="00E33A17">
      <w:pPr>
        <w:suppressAutoHyphens/>
        <w:ind w:left="851" w:hanging="851"/>
        <w:jc w:val="both"/>
        <w:rPr>
          <w:sz w:val="24"/>
        </w:rPr>
      </w:pPr>
      <w:r w:rsidRPr="00AC78D7">
        <w:rPr>
          <w:b/>
          <w:noProof/>
          <w:sz w:val="24"/>
        </w:rPr>
        <w:t>I.3.1</w:t>
      </w:r>
      <w:r w:rsidRPr="00AC78D7">
        <w:rPr>
          <w:sz w:val="24"/>
        </w:rPr>
        <w:tab/>
      </w:r>
      <w:r w:rsidR="00F2696C">
        <w:rPr>
          <w:sz w:val="24"/>
        </w:rPr>
        <w:t>Montant</w:t>
      </w:r>
    </w:p>
    <w:p w14:paraId="061CAC7B" w14:textId="683E3CA4" w:rsidR="002B10E3" w:rsidRDefault="00AC78D7" w:rsidP="00F2696C">
      <w:pPr>
        <w:suppressAutoHyphens/>
        <w:jc w:val="both"/>
        <w:rPr>
          <w:sz w:val="24"/>
        </w:rPr>
      </w:pPr>
      <w:r w:rsidRPr="00AC78D7">
        <w:rPr>
          <w:sz w:val="24"/>
        </w:rPr>
        <w:t xml:space="preserve">Le montant maximal du CC est fixé à </w:t>
      </w:r>
      <w:r w:rsidR="001D1A05">
        <w:rPr>
          <w:b/>
          <w:bCs/>
          <w:iCs/>
          <w:sz w:val="24"/>
        </w:rPr>
        <w:t>500</w:t>
      </w:r>
      <w:r w:rsidR="00746864" w:rsidRPr="00746864">
        <w:rPr>
          <w:b/>
          <w:bCs/>
          <w:iCs/>
          <w:sz w:val="24"/>
        </w:rPr>
        <w:t xml:space="preserve"> 000 (</w:t>
      </w:r>
      <w:r w:rsidR="001D1A05">
        <w:rPr>
          <w:b/>
          <w:bCs/>
          <w:iCs/>
          <w:sz w:val="24"/>
        </w:rPr>
        <w:t>cinq cent mille</w:t>
      </w:r>
      <w:r w:rsidR="00746864" w:rsidRPr="00746864">
        <w:rPr>
          <w:b/>
          <w:bCs/>
          <w:iCs/>
          <w:sz w:val="24"/>
        </w:rPr>
        <w:t>)</w:t>
      </w:r>
      <w:r w:rsidRPr="00AC78D7">
        <w:rPr>
          <w:sz w:val="24"/>
        </w:rPr>
        <w:t xml:space="preserve"> </w:t>
      </w:r>
      <w:r w:rsidRPr="00746864">
        <w:rPr>
          <w:b/>
          <w:bCs/>
          <w:sz w:val="24"/>
        </w:rPr>
        <w:t>euros</w:t>
      </w:r>
      <w:r w:rsidR="00A543A6" w:rsidRPr="00746864">
        <w:rPr>
          <w:b/>
          <w:bCs/>
          <w:sz w:val="24"/>
        </w:rPr>
        <w:t xml:space="preserve"> HT</w:t>
      </w:r>
      <w:r w:rsidRPr="00AC78D7">
        <w:rPr>
          <w:sz w:val="24"/>
        </w:rPr>
        <w:t xml:space="preserve">. Cependant, ce montant ne doit en aucun cas être interprété comme un engagement de la part </w:t>
      </w:r>
      <w:r w:rsidR="00DD3512">
        <w:rPr>
          <w:sz w:val="24"/>
        </w:rPr>
        <w:t>d’Expertise France</w:t>
      </w:r>
      <w:r w:rsidRPr="00AC78D7">
        <w:rPr>
          <w:sz w:val="24"/>
        </w:rPr>
        <w:t xml:space="preserve"> à payer le montant maximal pour l'achat.</w:t>
      </w:r>
    </w:p>
    <w:p w14:paraId="1B068C47" w14:textId="17774399" w:rsidR="00AC78D7" w:rsidRDefault="003A4A56" w:rsidP="0065149D">
      <w:pPr>
        <w:pStyle w:val="u"/>
        <w:widowControl w:val="0"/>
        <w:numPr>
          <w:ilvl w:val="12"/>
          <w:numId w:val="0"/>
        </w:numPr>
        <w:spacing w:before="120"/>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A543A6">
        <w:rPr>
          <w:rFonts w:asciiTheme="minorHAnsi" w:hAnsiTheme="minorHAnsi"/>
          <w:sz w:val="24"/>
        </w:rPr>
        <w:t>.</w:t>
      </w:r>
    </w:p>
    <w:p w14:paraId="529D6E84" w14:textId="77777777" w:rsidR="0065149D" w:rsidRDefault="00B561C0" w:rsidP="0065149D">
      <w:pPr>
        <w:pStyle w:val="u"/>
        <w:widowControl w:val="0"/>
        <w:numPr>
          <w:ilvl w:val="12"/>
          <w:numId w:val="0"/>
        </w:numPr>
        <w:spacing w:before="120"/>
        <w:rPr>
          <w:rFonts w:asciiTheme="minorHAnsi" w:hAnsiTheme="minorHAnsi"/>
          <w:sz w:val="24"/>
        </w:rPr>
      </w:pPr>
      <w:r>
        <w:rPr>
          <w:rFonts w:asciiTheme="minorHAnsi" w:hAnsiTheme="minorHAnsi"/>
          <w:sz w:val="24"/>
        </w:rPr>
        <w:t>Le d</w:t>
      </w:r>
      <w:r w:rsidR="0065149D">
        <w:rPr>
          <w:rFonts w:asciiTheme="minorHAnsi" w:hAnsiTheme="minorHAnsi"/>
          <w:sz w:val="24"/>
        </w:rPr>
        <w:t>étail des prix unitaires figure dans l’annexe financière annexée au présent contrat.</w:t>
      </w:r>
    </w:p>
    <w:p w14:paraId="4055BBA9" w14:textId="6802D35C" w:rsidR="0065149D" w:rsidRDefault="0065149D" w:rsidP="0065149D">
      <w:pPr>
        <w:pStyle w:val="u"/>
        <w:widowControl w:val="0"/>
        <w:numPr>
          <w:ilvl w:val="12"/>
          <w:numId w:val="0"/>
        </w:numPr>
        <w:spacing w:before="120"/>
        <w:rPr>
          <w:rFonts w:asciiTheme="minorHAnsi" w:hAnsiTheme="minorHAnsi"/>
          <w:sz w:val="24"/>
        </w:rPr>
      </w:pPr>
      <w:r w:rsidRPr="009B19B9">
        <w:rPr>
          <w:rFonts w:asciiTheme="minorHAnsi" w:hAnsiTheme="minorHAnsi"/>
          <w:sz w:val="24"/>
        </w:rPr>
        <w:t xml:space="preserve">Le montant du contrat n’inclut que les honoraires versés </w:t>
      </w:r>
      <w:r w:rsidR="00B75F07">
        <w:rPr>
          <w:rFonts w:asciiTheme="minorHAnsi" w:hAnsiTheme="minorHAnsi"/>
          <w:sz w:val="24"/>
        </w:rPr>
        <w:t>(</w:t>
      </w:r>
      <w:r>
        <w:rPr>
          <w:rFonts w:asciiTheme="minorHAnsi" w:hAnsiTheme="minorHAnsi"/>
          <w:sz w:val="24"/>
        </w:rPr>
        <w:t>mutuelle</w:t>
      </w:r>
      <w:r w:rsidR="00B75F07">
        <w:rPr>
          <w:rFonts w:asciiTheme="minorHAnsi" w:hAnsiTheme="minorHAnsi"/>
          <w:sz w:val="24"/>
        </w:rPr>
        <w:t xml:space="preserve"> complémentaire</w:t>
      </w:r>
      <w:r>
        <w:rPr>
          <w:rFonts w:asciiTheme="minorHAnsi" w:hAnsiTheme="minorHAnsi"/>
          <w:sz w:val="24"/>
        </w:rPr>
        <w:t xml:space="preserve"> hospitalisation</w:t>
      </w:r>
      <w:r w:rsidR="00A70E9E">
        <w:rPr>
          <w:rFonts w:asciiTheme="minorHAnsi" w:hAnsiTheme="minorHAnsi"/>
          <w:sz w:val="24"/>
        </w:rPr>
        <w:t xml:space="preserve"> </w:t>
      </w:r>
      <w:r w:rsidR="00B75F07">
        <w:rPr>
          <w:rFonts w:asciiTheme="minorHAnsi" w:hAnsiTheme="minorHAnsi"/>
          <w:sz w:val="24"/>
        </w:rPr>
        <w:t>incluse)</w:t>
      </w:r>
      <w:r>
        <w:rPr>
          <w:rFonts w:asciiTheme="minorHAnsi" w:hAnsiTheme="minorHAnsi"/>
          <w:sz w:val="24"/>
        </w:rPr>
        <w:t xml:space="preserve">, ce qui constituent </w:t>
      </w:r>
      <w:r w:rsidRPr="00A865CF">
        <w:rPr>
          <w:rFonts w:asciiTheme="minorHAnsi" w:hAnsiTheme="minorHAnsi"/>
          <w:b/>
          <w:sz w:val="24"/>
        </w:rPr>
        <w:t>les dépenses principales</w:t>
      </w:r>
      <w:r w:rsidR="00A865CF">
        <w:rPr>
          <w:rFonts w:asciiTheme="minorHAnsi" w:hAnsiTheme="minorHAnsi"/>
          <w:sz w:val="24"/>
        </w:rPr>
        <w:t xml:space="preserve"> du contrat. L</w:t>
      </w:r>
      <w:r w:rsidRPr="009B19B9">
        <w:rPr>
          <w:rFonts w:asciiTheme="minorHAnsi" w:hAnsiTheme="minorHAnsi"/>
          <w:sz w:val="24"/>
        </w:rPr>
        <w:t>es salaires versés au personnel porté, cotisations sociales, taxes/impôts et autres remboursements (coût global employeur)</w:t>
      </w:r>
      <w:r>
        <w:rPr>
          <w:rFonts w:asciiTheme="minorHAnsi" w:hAnsiTheme="minorHAnsi"/>
          <w:sz w:val="24"/>
        </w:rPr>
        <w:t xml:space="preserve"> constituent </w:t>
      </w:r>
      <w:r w:rsidRPr="00A70E9E">
        <w:rPr>
          <w:rFonts w:asciiTheme="minorHAnsi" w:hAnsiTheme="minorHAnsi"/>
          <w:b/>
          <w:sz w:val="24"/>
        </w:rPr>
        <w:t>des dépenses dites annexes</w:t>
      </w:r>
      <w:r w:rsidRPr="009B19B9">
        <w:rPr>
          <w:rFonts w:asciiTheme="minorHAnsi" w:hAnsiTheme="minorHAnsi"/>
          <w:sz w:val="24"/>
        </w:rPr>
        <w:t>.</w:t>
      </w:r>
    </w:p>
    <w:p w14:paraId="5EDBB0CD" w14:textId="561741F6" w:rsidR="00AB2410" w:rsidRPr="00D570A1" w:rsidRDefault="0065149D" w:rsidP="00AB2410">
      <w:pPr>
        <w:suppressAutoHyphens/>
        <w:ind w:hanging="709"/>
        <w:jc w:val="both"/>
        <w:rPr>
          <w:sz w:val="24"/>
        </w:rPr>
      </w:pPr>
      <w:r w:rsidRPr="00D570A1">
        <w:rPr>
          <w:sz w:val="24"/>
        </w:rPr>
        <w:tab/>
        <w:t>Les prix sont réputés complets et comprennent notamment toutes les charges fiscales (exceptée la TVA), parafiscales ou autres frappant obligatoirement la prestation. Les prix couvrent l’ensemble des prestations décrites dans le cahier des charges, y compris tous les honoraires, frais, charges et dépenses diverses liés à la prestation.</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1D6B0216" w14:textId="2A3CB0DC" w:rsidR="00AC78D7" w:rsidRDefault="0039009F" w:rsidP="00746864">
      <w:pPr>
        <w:jc w:val="both"/>
        <w:rPr>
          <w:sz w:val="24"/>
        </w:rPr>
      </w:pPr>
      <w:r>
        <w:rPr>
          <w:sz w:val="24"/>
        </w:rPr>
        <w:t>Les prix sont fermes et non révisable pen</w:t>
      </w:r>
      <w:r w:rsidR="00E047E8">
        <w:rPr>
          <w:sz w:val="24"/>
        </w:rPr>
        <w:t>dant toute la durée du CC.</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6"/>
      </w:r>
    </w:p>
    <w:p w14:paraId="58C30BD0" w14:textId="393D9C6E"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445A62F6"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69978741" w:rsidR="008F6F93" w:rsidRDefault="00487D5D" w:rsidP="00487D5D">
      <w:pPr>
        <w:suppressAutoHyphens/>
        <w:jc w:val="both"/>
        <w:rPr>
          <w:sz w:val="24"/>
        </w:rPr>
      </w:pPr>
      <w:r w:rsidRPr="00487D5D">
        <w:rPr>
          <w:sz w:val="24"/>
        </w:rPr>
        <w:t>Le délai d'exécution des tâches</w:t>
      </w:r>
      <w:r w:rsidR="00F87D2E">
        <w:rPr>
          <w:sz w:val="24"/>
        </w:rPr>
        <w:t xml:space="preserve"> </w:t>
      </w:r>
      <w:r w:rsidRPr="00487D5D">
        <w:rPr>
          <w:sz w:val="24"/>
        </w:rPr>
        <w:t xml:space="preserve">commence à courir à la date de </w:t>
      </w:r>
      <w:r w:rsidR="00734145">
        <w:rPr>
          <w:sz w:val="24"/>
        </w:rPr>
        <w:t xml:space="preserve">notification au contractant du bon de commande par </w:t>
      </w:r>
      <w:r w:rsidR="00CB2123">
        <w:rPr>
          <w:sz w:val="24"/>
        </w:rPr>
        <w:t>Expertise France</w:t>
      </w:r>
      <w:r w:rsidR="00734145">
        <w:rPr>
          <w:sz w:val="24"/>
        </w:rPr>
        <w:t>,</w:t>
      </w:r>
      <w:r w:rsidRPr="00487D5D">
        <w:rPr>
          <w:sz w:val="24"/>
        </w:rPr>
        <w:t xml:space="preserve"> sauf si le document mentionne une autre date</w:t>
      </w:r>
      <w:r w:rsidR="00910241">
        <w:rPr>
          <w:sz w:val="24"/>
        </w:rPr>
        <w:t>.</w:t>
      </w:r>
    </w:p>
    <w:p w14:paraId="752CB03C" w14:textId="77777777" w:rsidR="009F433C" w:rsidRPr="00487D5D" w:rsidRDefault="009F433C" w:rsidP="00487D5D">
      <w:pPr>
        <w:suppressAutoHyphens/>
        <w:jc w:val="both"/>
        <w:rPr>
          <w:sz w:val="24"/>
        </w:rPr>
      </w:pPr>
    </w:p>
    <w:p w14:paraId="77DDD614" w14:textId="6D6B5764" w:rsidR="00487D5D" w:rsidRPr="00487D5D" w:rsidRDefault="00487D5D" w:rsidP="00487D5D">
      <w:pPr>
        <w:jc w:val="both"/>
        <w:rPr>
          <w:color w:val="000000"/>
          <w:sz w:val="24"/>
        </w:rPr>
      </w:pPr>
      <w:r w:rsidRPr="00487D5D">
        <w:rPr>
          <w:b/>
          <w:sz w:val="24"/>
        </w:rPr>
        <w:lastRenderedPageBreak/>
        <w:t xml:space="preserve">I.4.2 </w:t>
      </w:r>
      <w:r w:rsidR="0065149D">
        <w:rPr>
          <w:b/>
          <w:sz w:val="24"/>
        </w:rPr>
        <w:t>Avances</w:t>
      </w:r>
      <w:r w:rsidR="00040C0B">
        <w:rPr>
          <w:b/>
          <w:sz w:val="24"/>
        </w:rPr>
        <w:t xml:space="preserve"> (préfinancement</w:t>
      </w:r>
      <w:r w:rsidR="007A561C">
        <w:rPr>
          <w:b/>
          <w:sz w:val="24"/>
        </w:rPr>
        <w:t>s</w:t>
      </w:r>
      <w:r w:rsidR="00040C0B">
        <w:rPr>
          <w:b/>
          <w:sz w:val="24"/>
        </w:rPr>
        <w:t>)</w:t>
      </w:r>
    </w:p>
    <w:p w14:paraId="34A5FC35" w14:textId="632A6A65" w:rsidR="005940B5" w:rsidRDefault="00670903" w:rsidP="00FC0BC7">
      <w:pPr>
        <w:spacing w:after="120"/>
        <w:jc w:val="both"/>
        <w:rPr>
          <w:sz w:val="24"/>
        </w:rPr>
      </w:pPr>
      <w:r>
        <w:rPr>
          <w:sz w:val="24"/>
        </w:rPr>
        <w:t>Une avance</w:t>
      </w:r>
      <w:r w:rsidR="00E047E8" w:rsidRPr="005940B5">
        <w:rPr>
          <w:sz w:val="24"/>
        </w:rPr>
        <w:t xml:space="preserve"> correspondant</w:t>
      </w:r>
      <w:r>
        <w:rPr>
          <w:sz w:val="24"/>
        </w:rPr>
        <w:t>e</w:t>
      </w:r>
      <w:r w:rsidR="00E047E8" w:rsidRPr="005940B5">
        <w:rPr>
          <w:sz w:val="24"/>
        </w:rPr>
        <w:t xml:space="preserve"> à </w:t>
      </w:r>
      <w:r w:rsidR="004E75C4">
        <w:rPr>
          <w:sz w:val="24"/>
        </w:rPr>
        <w:t>10%</w:t>
      </w:r>
      <w:r w:rsidR="00E047E8" w:rsidRPr="005940B5">
        <w:rPr>
          <w:sz w:val="24"/>
        </w:rPr>
        <w:t xml:space="preserve"> du bon commande émis, est versé dans un délai de 30 jours. Le remboursement du préfinancement est réalisé </w:t>
      </w:r>
      <w:r w:rsidR="00226436">
        <w:rPr>
          <w:sz w:val="24"/>
        </w:rPr>
        <w:t xml:space="preserve">par précompte </w:t>
      </w:r>
      <w:r w:rsidR="00E047E8" w:rsidRPr="005940B5">
        <w:rPr>
          <w:sz w:val="24"/>
        </w:rPr>
        <w:t>sur les dernières factures re</w:t>
      </w:r>
      <w:r w:rsidR="005940B5">
        <w:rPr>
          <w:sz w:val="24"/>
        </w:rPr>
        <w:t>latives au dit bon de commande.</w:t>
      </w:r>
    </w:p>
    <w:p w14:paraId="19E53D5B" w14:textId="25830060" w:rsidR="00670903" w:rsidRDefault="00670903" w:rsidP="00670903">
      <w:pPr>
        <w:spacing w:after="120"/>
        <w:jc w:val="both"/>
        <w:rPr>
          <w:sz w:val="24"/>
        </w:rPr>
      </w:pPr>
      <w:r>
        <w:rPr>
          <w:sz w:val="24"/>
        </w:rPr>
        <w:t>Le candidat devra indiquer à Expertise France s’il souhaite bénéficier d’une avance</w:t>
      </w:r>
      <w:r w:rsidRPr="00670903">
        <w:rPr>
          <w:sz w:val="24"/>
        </w:rPr>
        <w:t xml:space="preserve"> </w:t>
      </w:r>
      <w:r>
        <w:rPr>
          <w:sz w:val="24"/>
        </w:rPr>
        <w:t xml:space="preserve">ou </w:t>
      </w:r>
      <w:r w:rsidRPr="00670903">
        <w:rPr>
          <w:sz w:val="24"/>
        </w:rPr>
        <w:t xml:space="preserve">s'il renonce </w:t>
      </w:r>
      <w:r>
        <w:rPr>
          <w:sz w:val="24"/>
        </w:rPr>
        <w:t xml:space="preserve">à </w:t>
      </w:r>
      <w:r w:rsidRPr="00670903">
        <w:rPr>
          <w:sz w:val="24"/>
        </w:rPr>
        <w:t>percevoir</w:t>
      </w:r>
      <w:r>
        <w:rPr>
          <w:sz w:val="24"/>
        </w:rPr>
        <w:t xml:space="preserve"> </w:t>
      </w:r>
      <w:r w:rsidRPr="00670903">
        <w:rPr>
          <w:sz w:val="24"/>
        </w:rPr>
        <w:t>l'avance.</w:t>
      </w:r>
    </w:p>
    <w:p w14:paraId="5DF5352D" w14:textId="1533E5E4" w:rsidR="00AB2410" w:rsidRPr="00E92402" w:rsidRDefault="00E92402" w:rsidP="00AB2410">
      <w:pPr>
        <w:spacing w:after="120"/>
        <w:jc w:val="both"/>
        <w:rPr>
          <w:b/>
          <w:noProof/>
          <w:color w:val="000000"/>
          <w:sz w:val="24"/>
        </w:rPr>
      </w:pPr>
      <w:r w:rsidRPr="00E92402">
        <w:rPr>
          <w:b/>
          <w:noProof/>
          <w:color w:val="000000"/>
          <w:sz w:val="24"/>
        </w:rPr>
        <w:t>I.4. (Acompte)</w:t>
      </w:r>
      <w:r w:rsidR="00AB2410" w:rsidRPr="00E92402">
        <w:rPr>
          <w:b/>
          <w:noProof/>
          <w:color w:val="000000"/>
          <w:sz w:val="24"/>
        </w:rPr>
        <w:t xml:space="preserve"> Paiement intermédiaire</w:t>
      </w:r>
    </w:p>
    <w:p w14:paraId="32139BFE" w14:textId="27F73B85" w:rsidR="00AB2410" w:rsidRPr="00AB2410" w:rsidRDefault="00E92402" w:rsidP="00AB2410">
      <w:pPr>
        <w:spacing w:after="120"/>
        <w:jc w:val="both"/>
        <w:rPr>
          <w:sz w:val="24"/>
        </w:rPr>
      </w:pPr>
      <w:r>
        <w:rPr>
          <w:sz w:val="24"/>
        </w:rPr>
        <w:t>L</w:t>
      </w:r>
      <w:r w:rsidR="00AB2410" w:rsidRPr="00AB2410">
        <w:rPr>
          <w:sz w:val="24"/>
        </w:rPr>
        <w:t xml:space="preserve">e contractant présente une facture pour demander un paiement intermédiaire équivalent à </w:t>
      </w:r>
      <w:r>
        <w:rPr>
          <w:sz w:val="24"/>
        </w:rPr>
        <w:t>au</w:t>
      </w:r>
      <w:r w:rsidR="00AB2410" w:rsidRPr="00AB2410">
        <w:rPr>
          <w:sz w:val="24"/>
        </w:rPr>
        <w:t xml:space="preserve"> prix total mentionné dans le bon de commande cor</w:t>
      </w:r>
      <w:r>
        <w:rPr>
          <w:sz w:val="24"/>
        </w:rPr>
        <w:t>respondant.</w:t>
      </w:r>
    </w:p>
    <w:p w14:paraId="35541AD8" w14:textId="2E543C7A" w:rsidR="00AB2410" w:rsidRPr="00AB2410" w:rsidRDefault="00E92402" w:rsidP="00AB2410">
      <w:pPr>
        <w:spacing w:after="120"/>
        <w:jc w:val="both"/>
        <w:rPr>
          <w:sz w:val="24"/>
        </w:rPr>
      </w:pPr>
      <w:r>
        <w:rPr>
          <w:sz w:val="24"/>
        </w:rPr>
        <w:t>Ou à sa demande d</w:t>
      </w:r>
      <w:r w:rsidR="00AB2410" w:rsidRPr="00AB2410">
        <w:rPr>
          <w:sz w:val="24"/>
        </w:rPr>
        <w:t>es paiements intermédiaires périodiques trimestriels pourront être versés au prestataire. Le montant de ces acomptes ne pourra dépasser la valeur des prestations effectuées par le prestataire et validées par Expertise France.</w:t>
      </w:r>
    </w:p>
    <w:p w14:paraId="76969374" w14:textId="77777777" w:rsidR="00AB2410" w:rsidRPr="00AB2410" w:rsidRDefault="00AB2410" w:rsidP="00AB2410">
      <w:pPr>
        <w:spacing w:after="120"/>
        <w:jc w:val="both"/>
        <w:rPr>
          <w:sz w:val="24"/>
        </w:rPr>
      </w:pPr>
      <w:r w:rsidRPr="00AB2410">
        <w:rPr>
          <w:sz w:val="24"/>
        </w:rPr>
        <w:t>La périodicité du versement des paiements intermédiaires pourra être ramenée à 1 mois à la demande du prestataire.</w:t>
      </w:r>
    </w:p>
    <w:p w14:paraId="09A3B1D2" w14:textId="446D4932" w:rsidR="00AB2410" w:rsidRPr="00AB2410" w:rsidRDefault="00AB2410" w:rsidP="00AB2410">
      <w:pPr>
        <w:spacing w:after="120"/>
        <w:jc w:val="both"/>
        <w:rPr>
          <w:sz w:val="24"/>
        </w:rPr>
      </w:pPr>
      <w:r w:rsidRPr="00AB2410">
        <w:rPr>
          <w:sz w:val="24"/>
        </w:rPr>
        <w:t xml:space="preserve">Le montant cumulé des paiements intermédiaires versés ne doit pas dépasser 90% du montant du </w:t>
      </w:r>
      <w:r w:rsidR="00E92402">
        <w:rPr>
          <w:sz w:val="24"/>
        </w:rPr>
        <w:t>bon de commande.</w:t>
      </w:r>
    </w:p>
    <w:p w14:paraId="2DB23440" w14:textId="39FDD900" w:rsidR="00AB2410" w:rsidRDefault="00AB2410" w:rsidP="00670903">
      <w:pPr>
        <w:spacing w:after="120"/>
        <w:jc w:val="both"/>
        <w:rPr>
          <w:sz w:val="24"/>
        </w:rPr>
      </w:pPr>
      <w:r w:rsidRPr="00AB2410">
        <w:rPr>
          <w:sz w:val="24"/>
        </w:rPr>
        <w:t>Les paiements intermédiaires ne constituent pas preuve de réception, même partielle, et ne libèrent pas le prestataire de ses obligations au titre du contrat et o</w:t>
      </w:r>
      <w:r w:rsidR="00E92402">
        <w:rPr>
          <w:sz w:val="24"/>
        </w:rPr>
        <w:t>u du bon de commande considéré.</w:t>
      </w:r>
    </w:p>
    <w:p w14:paraId="0C57E77F" w14:textId="2CCA281F" w:rsidR="00E92402" w:rsidRDefault="00E92402" w:rsidP="00670903">
      <w:pPr>
        <w:spacing w:after="120"/>
        <w:jc w:val="both"/>
        <w:rPr>
          <w:sz w:val="24"/>
        </w:rPr>
      </w:pPr>
      <w:r>
        <w:rPr>
          <w:sz w:val="24"/>
        </w:rPr>
        <w:t>Les factures accompagnants ces demandes des paiements intermédiaires sont accompagnées d’un rapport incluant les preuves de paiement des salaires et versem</w:t>
      </w:r>
      <w:r w:rsidR="000C4834">
        <w:rPr>
          <w:sz w:val="24"/>
        </w:rPr>
        <w:t>ents des contributions sociales, taxes et impôts précédant la demande de paiement.</w:t>
      </w:r>
    </w:p>
    <w:p w14:paraId="55A86B6A" w14:textId="6AE6234D" w:rsidR="00487D5D" w:rsidRPr="00487D5D" w:rsidRDefault="00487D5D" w:rsidP="00670903">
      <w:pPr>
        <w:spacing w:after="120"/>
        <w:jc w:val="both"/>
        <w:rPr>
          <w:b/>
          <w:color w:val="000000"/>
          <w:sz w:val="24"/>
        </w:rPr>
      </w:pPr>
      <w:r w:rsidRPr="00487D5D">
        <w:rPr>
          <w:b/>
          <w:noProof/>
          <w:color w:val="000000"/>
          <w:sz w:val="24"/>
        </w:rPr>
        <w:t>I.4.</w:t>
      </w:r>
      <w:r w:rsidR="00FC0BC7">
        <w:rPr>
          <w:b/>
          <w:noProof/>
          <w:color w:val="000000"/>
          <w:sz w:val="24"/>
        </w:rPr>
        <w:t>4</w:t>
      </w:r>
      <w:r w:rsidRPr="00487D5D">
        <w:rPr>
          <w:b/>
          <w:color w:val="000000"/>
          <w:sz w:val="24"/>
        </w:rPr>
        <w:t xml:space="preserve"> </w:t>
      </w:r>
      <w:r w:rsidRPr="00487D5D">
        <w:rPr>
          <w:b/>
          <w:sz w:val="24"/>
        </w:rPr>
        <w:t>Paiement du solde</w:t>
      </w:r>
    </w:p>
    <w:p w14:paraId="24511D26" w14:textId="03E1F232" w:rsidR="00FC0BC7" w:rsidRPr="00487D5D" w:rsidRDefault="00FC0BC7" w:rsidP="00F2696C">
      <w:pPr>
        <w:jc w:val="both"/>
        <w:rPr>
          <w:sz w:val="24"/>
        </w:rPr>
      </w:pPr>
      <w:r w:rsidRPr="00487D5D">
        <w:rPr>
          <w:sz w:val="24"/>
        </w:rPr>
        <w:t xml:space="preserve">Le contractant présente une facture pour demander le paiement du solde. </w:t>
      </w:r>
      <w:r>
        <w:rPr>
          <w:sz w:val="24"/>
        </w:rPr>
        <w:t>Expertise France</w:t>
      </w:r>
      <w:r w:rsidRPr="00487D5D">
        <w:rPr>
          <w:sz w:val="24"/>
        </w:rPr>
        <w:t xml:space="preserve"> effectue le paiement dans les trente jours suiv</w:t>
      </w:r>
      <w:r>
        <w:rPr>
          <w:sz w:val="24"/>
        </w:rPr>
        <w:t>ant la réception de la facture.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lastRenderedPageBreak/>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7"/>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002184EF"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r w:rsidR="00FC0BC7">
        <w:rPr>
          <w:sz w:val="24"/>
        </w:rPr>
        <w:t xml:space="preserve"> </w:t>
      </w:r>
      <w:r w:rsidRPr="00487D5D">
        <w:rPr>
          <w:sz w:val="24"/>
        </w:rPr>
        <w:t>:</w:t>
      </w:r>
    </w:p>
    <w:p w14:paraId="48E43D75" w14:textId="1B65A66B" w:rsidR="00487D5D" w:rsidRPr="00487D5D" w:rsidRDefault="00B833C3" w:rsidP="00487D5D">
      <w:pPr>
        <w:ind w:left="567"/>
        <w:jc w:val="both"/>
        <w:outlineLvl w:val="0"/>
        <w:rPr>
          <w:sz w:val="24"/>
        </w:rPr>
      </w:pPr>
      <w:r>
        <w:rPr>
          <w:sz w:val="24"/>
          <w:u w:val="single"/>
        </w:rPr>
        <w:t xml:space="preserve">Expertise </w:t>
      </w:r>
      <w:r w:rsidR="00FC0BC7">
        <w:rPr>
          <w:sz w:val="24"/>
          <w:u w:val="single"/>
        </w:rPr>
        <w:t xml:space="preserve">France </w:t>
      </w:r>
      <w:r w:rsidR="00487D5D" w:rsidRPr="00487D5D">
        <w:rPr>
          <w:sz w:val="24"/>
        </w:rPr>
        <w:t>:</w:t>
      </w:r>
    </w:p>
    <w:p w14:paraId="4C53E2B1" w14:textId="5947E3AC" w:rsidR="00487D5D" w:rsidRDefault="00FC0BC7" w:rsidP="00AD62B9">
      <w:pPr>
        <w:spacing w:before="0" w:beforeAutospacing="0" w:after="0" w:afterAutospacing="0"/>
        <w:ind w:left="567"/>
        <w:outlineLvl w:val="0"/>
        <w:rPr>
          <w:sz w:val="24"/>
        </w:rPr>
      </w:pPr>
      <w:r w:rsidRPr="00FC0BC7">
        <w:rPr>
          <w:sz w:val="24"/>
        </w:rPr>
        <w:t xml:space="preserve">Bureau d’Expertise France </w:t>
      </w:r>
      <w:r w:rsidR="008C1CBE">
        <w:rPr>
          <w:sz w:val="24"/>
        </w:rPr>
        <w:t>à Dakar</w:t>
      </w:r>
      <w:r w:rsidR="002C63E9">
        <w:rPr>
          <w:sz w:val="24"/>
        </w:rPr>
        <w:br/>
      </w:r>
      <w:r w:rsidR="00F96771">
        <w:rPr>
          <w:sz w:val="24"/>
        </w:rPr>
        <w:t>3è Etage, Lot 25</w:t>
      </w:r>
    </w:p>
    <w:p w14:paraId="35F6245D" w14:textId="34E3B838" w:rsidR="00F96771" w:rsidRDefault="00F96771" w:rsidP="00AD62B9">
      <w:pPr>
        <w:spacing w:before="0" w:beforeAutospacing="0" w:after="0" w:afterAutospacing="0"/>
        <w:ind w:left="567"/>
        <w:outlineLvl w:val="0"/>
        <w:rPr>
          <w:sz w:val="24"/>
        </w:rPr>
      </w:pPr>
      <w:r>
        <w:rPr>
          <w:sz w:val="24"/>
        </w:rPr>
        <w:t xml:space="preserve">Route des </w:t>
      </w:r>
      <w:proofErr w:type="spellStart"/>
      <w:r>
        <w:rPr>
          <w:sz w:val="24"/>
        </w:rPr>
        <w:t>Almadies</w:t>
      </w:r>
      <w:proofErr w:type="spellEnd"/>
    </w:p>
    <w:p w14:paraId="1F1F0A92" w14:textId="40D90ADF" w:rsidR="00F96771" w:rsidRDefault="00F96771" w:rsidP="00AD62B9">
      <w:pPr>
        <w:spacing w:before="0" w:beforeAutospacing="0" w:after="0" w:afterAutospacing="0"/>
        <w:ind w:left="567"/>
        <w:outlineLvl w:val="0"/>
        <w:rPr>
          <w:sz w:val="24"/>
        </w:rPr>
      </w:pPr>
      <w:r>
        <w:rPr>
          <w:sz w:val="24"/>
        </w:rPr>
        <w:t>Dakar - Sénégal</w:t>
      </w:r>
    </w:p>
    <w:p w14:paraId="73B31B8D" w14:textId="77777777" w:rsidR="008C1CBE" w:rsidRPr="00487D5D" w:rsidRDefault="008C1CBE" w:rsidP="00AD62B9">
      <w:pPr>
        <w:spacing w:before="0" w:beforeAutospacing="0" w:after="0" w:afterAutospacing="0"/>
        <w:ind w:left="567"/>
        <w:outlineLvl w:val="0"/>
        <w:rPr>
          <w:sz w:val="24"/>
        </w:rPr>
      </w:pPr>
    </w:p>
    <w:p w14:paraId="7A1FBEAE" w14:textId="3868E3EB" w:rsidR="00B833C3" w:rsidRPr="00487D5D" w:rsidRDefault="00487D5D" w:rsidP="00AD62B9">
      <w:pPr>
        <w:tabs>
          <w:tab w:val="left" w:pos="510"/>
          <w:tab w:val="num" w:pos="1485"/>
          <w:tab w:val="left" w:pos="10977"/>
        </w:tabs>
        <w:spacing w:before="0" w:beforeAutospacing="0"/>
        <w:ind w:left="567"/>
        <w:jc w:val="both"/>
        <w:outlineLvl w:val="0"/>
        <w:rPr>
          <w:i/>
          <w:sz w:val="24"/>
          <w:u w:val="single"/>
        </w:rPr>
      </w:pPr>
      <w:r w:rsidRPr="00487D5D">
        <w:rPr>
          <w:sz w:val="24"/>
        </w:rPr>
        <w:t>E-mail:</w:t>
      </w:r>
      <w:r w:rsidR="00FC0BC7">
        <w:rPr>
          <w:sz w:val="24"/>
        </w:rPr>
        <w:t xml:space="preserve"> </w:t>
      </w:r>
      <w:hyperlink r:id="rId10" w:history="1">
        <w:r w:rsidR="00F96771" w:rsidRPr="00CD67E4">
          <w:rPr>
            <w:rStyle w:val="Lienhypertexte"/>
            <w:sz w:val="24"/>
          </w:rPr>
          <w:t>haoudjati.oussoufa@expertisefrance.fr</w:t>
        </w:r>
      </w:hyperlink>
      <w:r w:rsidR="00F96771">
        <w:rPr>
          <w:sz w:val="24"/>
        </w:rPr>
        <w:t xml:space="preserve"> </w:t>
      </w:r>
    </w:p>
    <w:p w14:paraId="4B451E04" w14:textId="77777777" w:rsidR="00487D5D" w:rsidRPr="00487D5D" w:rsidRDefault="00487D5D" w:rsidP="00487D5D">
      <w:pPr>
        <w:ind w:left="567"/>
        <w:jc w:val="both"/>
        <w:outlineLvl w:val="0"/>
        <w:rPr>
          <w:sz w:val="24"/>
        </w:rPr>
      </w:pPr>
      <w:r w:rsidRPr="00487D5D">
        <w:rPr>
          <w:sz w:val="24"/>
          <w:u w:val="single"/>
        </w:rPr>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5D6C5DF3" w14:textId="0D02A6FF" w:rsidR="00487D5D" w:rsidRPr="002F6999" w:rsidRDefault="00487D5D" w:rsidP="00487D5D">
      <w:pPr>
        <w:ind w:left="709" w:hanging="709"/>
        <w:jc w:val="both"/>
        <w:rPr>
          <w:sz w:val="24"/>
        </w:rPr>
      </w:pPr>
      <w:r w:rsidRPr="00487D5D">
        <w:rPr>
          <w:b/>
          <w:noProof/>
          <w:sz w:val="24"/>
        </w:rPr>
        <w:t>I.7.2</w:t>
      </w:r>
      <w:r w:rsidRPr="00487D5D">
        <w:rPr>
          <w:b/>
          <w:sz w:val="24"/>
        </w:rPr>
        <w:tab/>
      </w:r>
      <w:r w:rsidRPr="00487D5D">
        <w:rPr>
          <w:sz w:val="24"/>
        </w:rPr>
        <w:t xml:space="preserve">Tout litige entre </w:t>
      </w:r>
      <w:r w:rsidR="00AB2410" w:rsidRPr="00487D5D">
        <w:rPr>
          <w:sz w:val="24"/>
        </w:rPr>
        <w:t>les parties liées</w:t>
      </w:r>
      <w:r w:rsidRPr="00487D5D">
        <w:rPr>
          <w:sz w:val="24"/>
        </w:rPr>
        <w:t xml:space="preserve"> à l'interprétation, l'application ou la validité du CC et ne pouvant être réglé </w:t>
      </w:r>
      <w:r w:rsidR="002F6999">
        <w:rPr>
          <w:sz w:val="24"/>
        </w:rPr>
        <w:t xml:space="preserve">à l'amiable est porté devant le Tribunal </w:t>
      </w:r>
      <w:r w:rsidR="00AB2410">
        <w:rPr>
          <w:sz w:val="24"/>
        </w:rPr>
        <w:t>judiciaire</w:t>
      </w:r>
      <w:r w:rsidR="002F6999">
        <w:rPr>
          <w:sz w:val="24"/>
        </w:rPr>
        <w:t xml:space="preserve"> de </w:t>
      </w:r>
      <w:r w:rsidR="00AB2410">
        <w:rPr>
          <w:sz w:val="24"/>
        </w:rPr>
        <w:t>Paris.</w:t>
      </w:r>
    </w:p>
    <w:p w14:paraId="7607E079" w14:textId="7CB2BB95" w:rsidR="00353BD9" w:rsidRPr="00353BD9" w:rsidRDefault="00353BD9" w:rsidP="00353BD9">
      <w:pPr>
        <w:pStyle w:val="Titre2"/>
      </w:pPr>
      <w:r w:rsidRPr="00353BD9">
        <w:lastRenderedPageBreak/>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61C7E4C6" w14:textId="693639A9" w:rsidR="00E92402" w:rsidRPr="00353BD9" w:rsidRDefault="00FC0BC7" w:rsidP="00353BD9">
      <w:pPr>
        <w:jc w:val="both"/>
        <w:rPr>
          <w:sz w:val="24"/>
        </w:rPr>
      </w:pPr>
      <w:r>
        <w:rPr>
          <w:sz w:val="24"/>
        </w:rPr>
        <w:t>Sans objet.</w:t>
      </w:r>
    </w:p>
    <w:p w14:paraId="7FF9A797" w14:textId="77777777" w:rsidR="00353BD9" w:rsidRPr="00353BD9" w:rsidRDefault="00353BD9" w:rsidP="00353BD9">
      <w:pPr>
        <w:jc w:val="both"/>
        <w:rPr>
          <w:b/>
          <w:sz w:val="24"/>
        </w:rPr>
      </w:pPr>
      <w:r w:rsidRPr="00353BD9">
        <w:rPr>
          <w:b/>
          <w:sz w:val="24"/>
        </w:rPr>
        <w:t>I.8.2 Droits préexistants et transfert de droits</w:t>
      </w:r>
    </w:p>
    <w:p w14:paraId="4EBE9BF3" w14:textId="67E1FE9F" w:rsidR="00353BD9" w:rsidRPr="00FC0BC7" w:rsidRDefault="00FC0BC7" w:rsidP="00353BD9">
      <w:pPr>
        <w:jc w:val="both"/>
        <w:rPr>
          <w:sz w:val="24"/>
        </w:rPr>
      </w:pPr>
      <w:r>
        <w:rPr>
          <w:sz w:val="24"/>
        </w:rPr>
        <w:t>Sans objet.</w:t>
      </w:r>
    </w:p>
    <w:p w14:paraId="0171A22E" w14:textId="26344B43" w:rsidR="00353BD9" w:rsidRPr="00353BD9" w:rsidRDefault="00353BD9" w:rsidP="00353BD9">
      <w:pPr>
        <w:pStyle w:val="Titre2"/>
      </w:pPr>
      <w:r w:rsidRPr="00353BD9">
        <w:t>Article I.9 – Résiliation par les parties</w:t>
      </w:r>
    </w:p>
    <w:p w14:paraId="488F011F" w14:textId="2549E53F" w:rsidR="00670903" w:rsidRPr="000C4834" w:rsidRDefault="00803261" w:rsidP="00353BD9">
      <w:pPr>
        <w:jc w:val="both"/>
        <w:rPr>
          <w:sz w:val="24"/>
        </w:rPr>
      </w:pPr>
      <w:r>
        <w:rPr>
          <w:sz w:val="24"/>
        </w:rPr>
        <w:t>Les modalités de résiliation du CC sont définies dans les conditions générales du présent contrat.</w:t>
      </w:r>
    </w:p>
    <w:p w14:paraId="4DBAB51B" w14:textId="550CA1C1" w:rsidR="00353BD9" w:rsidRPr="00353BD9" w:rsidRDefault="00353BD9" w:rsidP="00353BD9">
      <w:pPr>
        <w:pStyle w:val="Titre2"/>
      </w:pPr>
      <w:r w:rsidRPr="00353BD9">
        <w:t>Article I.1</w:t>
      </w:r>
      <w:r w:rsidR="00266310">
        <w:t>0</w:t>
      </w:r>
      <w:r w:rsidRPr="00353BD9">
        <w:t xml:space="preserve"> – Autres conditions particulières</w:t>
      </w:r>
    </w:p>
    <w:p w14:paraId="601B4086" w14:textId="77777777" w:rsidR="00FC0BC7" w:rsidRPr="00E54414" w:rsidRDefault="00FC0BC7" w:rsidP="00FC0BC7">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10874A65" w14:textId="77777777" w:rsidR="00FC0BC7" w:rsidRPr="00745209" w:rsidRDefault="00FC0BC7" w:rsidP="00FC0BC7">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313DC5E1" w14:textId="1BFF754C" w:rsidR="00FC0BC7" w:rsidRPr="00745209" w:rsidRDefault="00FC0BC7" w:rsidP="00FC0BC7">
      <w:pPr>
        <w:jc w:val="both"/>
        <w:rPr>
          <w:sz w:val="24"/>
        </w:rPr>
      </w:pPr>
      <w:r w:rsidRPr="00745209">
        <w:rPr>
          <w:sz w:val="24"/>
        </w:rPr>
        <w:t xml:space="preserve">La substitution d’un nouveau bordereau des prix en cas de suppression, de modifications ou d’ajouts de références du bordereau </w:t>
      </w:r>
      <w:r w:rsidR="000C4834" w:rsidRPr="00745209">
        <w:rPr>
          <w:sz w:val="24"/>
        </w:rPr>
        <w:t>des prix initiaux</w:t>
      </w:r>
      <w:r w:rsidRPr="00745209">
        <w:rPr>
          <w:sz w:val="24"/>
        </w:rPr>
        <w:t xml:space="preserve"> sous réserve de l’acceptation par </w:t>
      </w:r>
      <w:r>
        <w:rPr>
          <w:sz w:val="24"/>
        </w:rPr>
        <w:t>Expertise France ;</w:t>
      </w:r>
    </w:p>
    <w:p w14:paraId="29DD23A1" w14:textId="1B2ECA2B" w:rsidR="00FC0BC7" w:rsidRDefault="00FC0BC7" w:rsidP="00FC0BC7">
      <w:pPr>
        <w:jc w:val="both"/>
        <w:rPr>
          <w:sz w:val="24"/>
        </w:rPr>
      </w:pPr>
      <w:r w:rsidRPr="00745209">
        <w:rPr>
          <w:sz w:val="24"/>
        </w:rPr>
        <w:t>Ces modifications sont notifiées au contractant : par simple échange de courrier via l</w:t>
      </w:r>
      <w:r>
        <w:rPr>
          <w:sz w:val="24"/>
        </w:rPr>
        <w:t>a plateforme sécurisée PLACE, ou</w:t>
      </w:r>
      <w:r w:rsidRPr="00745209">
        <w:rPr>
          <w:sz w:val="24"/>
        </w:rPr>
        <w:t xml:space="preserve"> par tout moyen défini par </w:t>
      </w:r>
      <w:r>
        <w:rPr>
          <w:sz w:val="24"/>
        </w:rPr>
        <w:t>Expertise France</w:t>
      </w:r>
      <w:r w:rsidRPr="00745209">
        <w:rPr>
          <w:sz w:val="24"/>
        </w:rPr>
        <w:t xml:space="preserve"> et permettant de garan</w:t>
      </w:r>
      <w:r>
        <w:rPr>
          <w:sz w:val="24"/>
        </w:rPr>
        <w:t>tir la traçabilité des échanges.</w:t>
      </w:r>
    </w:p>
    <w:p w14:paraId="0DEBFF3B" w14:textId="77777777" w:rsidR="00C55EF1" w:rsidRPr="00C55EF1" w:rsidRDefault="00C55EF1" w:rsidP="00C55EF1">
      <w:pPr>
        <w:jc w:val="both"/>
        <w:rPr>
          <w:b/>
          <w:sz w:val="24"/>
        </w:rPr>
      </w:pPr>
      <w:r w:rsidRPr="00C55EF1">
        <w:rPr>
          <w:b/>
          <w:sz w:val="24"/>
        </w:rPr>
        <w:t xml:space="preserve">Article X : clause environnementale dans le cadre de l’exécution de prestations de services : </w:t>
      </w:r>
    </w:p>
    <w:p w14:paraId="31AB3986" w14:textId="77777777" w:rsidR="00C55EF1" w:rsidRPr="00C55EF1" w:rsidRDefault="00C55EF1" w:rsidP="00C55EF1">
      <w:pPr>
        <w:jc w:val="both"/>
        <w:rPr>
          <w:sz w:val="24"/>
        </w:rPr>
      </w:pPr>
      <w:r w:rsidRPr="00C55EF1">
        <w:rPr>
          <w:sz w:val="24"/>
        </w:rPr>
        <w:t>Dans le cadre du présent marché, le titulaire s’engage à réduire l’empreinte environnementale liée à l’exécution de ses prestations de services, en tenant compte des réalités locales et des capacités technologiques disponibles.</w:t>
      </w:r>
    </w:p>
    <w:p w14:paraId="10CAA146" w14:textId="77777777" w:rsidR="00C55EF1" w:rsidRPr="00C55EF1" w:rsidRDefault="00C55EF1" w:rsidP="00C55EF1">
      <w:pPr>
        <w:jc w:val="both"/>
        <w:rPr>
          <w:sz w:val="24"/>
        </w:rPr>
      </w:pPr>
      <w:r w:rsidRPr="00C55EF1">
        <w:rPr>
          <w:sz w:val="24"/>
        </w:rPr>
        <w:t>À ce titre, il devra mettre en œuvre les actions suivantes, dans la mesure du possible :</w:t>
      </w:r>
    </w:p>
    <w:p w14:paraId="4899BADE" w14:textId="77777777" w:rsidR="00C55EF1" w:rsidRPr="00C55EF1" w:rsidRDefault="00C55EF1" w:rsidP="00C55EF1">
      <w:pPr>
        <w:jc w:val="both"/>
        <w:rPr>
          <w:sz w:val="24"/>
        </w:rPr>
      </w:pPr>
      <w:r w:rsidRPr="00C55EF1">
        <w:rPr>
          <w:sz w:val="24"/>
        </w:rPr>
        <w:t>– utilisation raisonnée d’outils numériques favorisant la sobriété énergétique (ex. : logiciels peu consommateurs de ressources, serveurs mutualisés, plateformes légères) ;</w:t>
      </w:r>
    </w:p>
    <w:p w14:paraId="4CA2B894" w14:textId="77777777" w:rsidR="00C55EF1" w:rsidRPr="00C55EF1" w:rsidRDefault="00C55EF1" w:rsidP="00C55EF1">
      <w:pPr>
        <w:jc w:val="both"/>
        <w:rPr>
          <w:sz w:val="24"/>
        </w:rPr>
      </w:pPr>
      <w:r w:rsidRPr="00C55EF1">
        <w:rPr>
          <w:sz w:val="24"/>
        </w:rPr>
        <w:lastRenderedPageBreak/>
        <w:t>– réduction de l’usage du papier, notamment par le recours aux échanges numériques, la dématérialisation des livrables, et l’impression en recto-verso ou en noir et blanc si nécessaire ;</w:t>
      </w:r>
    </w:p>
    <w:p w14:paraId="198FEF1E" w14:textId="77777777" w:rsidR="00C55EF1" w:rsidRPr="00C55EF1" w:rsidRDefault="00C55EF1" w:rsidP="00C55EF1">
      <w:pPr>
        <w:jc w:val="both"/>
        <w:rPr>
          <w:sz w:val="24"/>
        </w:rPr>
      </w:pPr>
      <w:r w:rsidRPr="00C55EF1">
        <w:rPr>
          <w:sz w:val="24"/>
        </w:rPr>
        <w:t xml:space="preserve">– sensibilisation des équipes (salariés, consultants, prestataires locaux) aux </w:t>
      </w:r>
      <w:proofErr w:type="spellStart"/>
      <w:r w:rsidRPr="00C55EF1">
        <w:rPr>
          <w:sz w:val="24"/>
        </w:rPr>
        <w:t>écogestes</w:t>
      </w:r>
      <w:proofErr w:type="spellEnd"/>
      <w:r w:rsidRPr="00C55EF1">
        <w:rPr>
          <w:sz w:val="24"/>
        </w:rPr>
        <w:t xml:space="preserve"> et aux bonnes pratiques environnementales dans la réalisation des prestations intellectuelles, de formation, d’audit ou de conseil.</w:t>
      </w:r>
    </w:p>
    <w:p w14:paraId="41D51436" w14:textId="77777777" w:rsidR="00C55EF1" w:rsidRPr="00C55EF1" w:rsidRDefault="00C55EF1" w:rsidP="00C55EF1">
      <w:pPr>
        <w:jc w:val="both"/>
        <w:rPr>
          <w:sz w:val="24"/>
        </w:rPr>
      </w:pPr>
    </w:p>
    <w:p w14:paraId="26752BF1" w14:textId="77777777" w:rsidR="00C55EF1" w:rsidRPr="00C55EF1" w:rsidRDefault="00C55EF1" w:rsidP="00C55EF1">
      <w:pPr>
        <w:jc w:val="both"/>
        <w:rPr>
          <w:sz w:val="24"/>
        </w:rPr>
      </w:pPr>
      <w:r w:rsidRPr="00C55EF1">
        <w:rPr>
          <w:sz w:val="24"/>
        </w:rPr>
        <w:t>Le titulaire veillera à adapter ces actions aux conditions locales (accès au numérique, infrastructures disponibles) et à intégrer la logique de développement durable dans ses méthodes de travail.</w:t>
      </w:r>
    </w:p>
    <w:p w14:paraId="78238B99" w14:textId="77777777" w:rsidR="00C55EF1" w:rsidRPr="00C55EF1" w:rsidRDefault="00C55EF1" w:rsidP="00C55EF1">
      <w:pPr>
        <w:jc w:val="both"/>
        <w:rPr>
          <w:sz w:val="24"/>
        </w:rPr>
      </w:pPr>
      <w:r w:rsidRPr="00C55EF1">
        <w:rPr>
          <w:sz w:val="24"/>
        </w:rPr>
        <w:t>À l’issue du marché, un bilan environnemental simplifié devra être transmis à l’acheteur. Ce document précisera les actions concrètes mises en œuvre, les outils ou méthodes utilisés, ainsi que les éventuelles limites rencontrées.</w:t>
      </w:r>
    </w:p>
    <w:p w14:paraId="077800FD" w14:textId="47C0C0A1" w:rsidR="00C55EF1" w:rsidRPr="00C55EF1" w:rsidRDefault="00C55EF1" w:rsidP="00C55EF1">
      <w:pPr>
        <w:jc w:val="both"/>
        <w:rPr>
          <w:sz w:val="24"/>
        </w:rPr>
      </w:pPr>
      <w:r w:rsidRPr="00C55EF1">
        <w:rPr>
          <w:sz w:val="24"/>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75079081" w14:textId="14B8A76E" w:rsidR="00C55EF1" w:rsidRPr="00C55EF1" w:rsidRDefault="00C55EF1" w:rsidP="00C55EF1">
      <w:pPr>
        <w:jc w:val="both"/>
        <w:outlineLvl w:val="0"/>
        <w:rPr>
          <w:b/>
          <w:bCs/>
          <w:sz w:val="24"/>
        </w:rPr>
      </w:pPr>
      <w:r w:rsidRPr="00E54414">
        <w:rPr>
          <w:b/>
          <w:bCs/>
          <w:sz w:val="24"/>
        </w:rPr>
        <w:t>I.1</w:t>
      </w:r>
      <w:r>
        <w:rPr>
          <w:b/>
          <w:bCs/>
          <w:sz w:val="24"/>
        </w:rPr>
        <w:t>0</w:t>
      </w:r>
      <w:r w:rsidRPr="00E54414">
        <w:rPr>
          <w:b/>
          <w:bCs/>
          <w:sz w:val="24"/>
        </w:rPr>
        <w:t>.</w:t>
      </w:r>
      <w:proofErr w:type="gramStart"/>
      <w:r>
        <w:rPr>
          <w:b/>
          <w:bCs/>
          <w:sz w:val="24"/>
        </w:rPr>
        <w:t>2</w:t>
      </w:r>
      <w:r>
        <w:rPr>
          <w:b/>
          <w:bCs/>
          <w:sz w:val="24"/>
        </w:rPr>
        <w:t xml:space="preserve">  C</w:t>
      </w:r>
      <w:r w:rsidRPr="00C55EF1">
        <w:rPr>
          <w:b/>
          <w:bCs/>
          <w:sz w:val="24"/>
        </w:rPr>
        <w:t>lause</w:t>
      </w:r>
      <w:proofErr w:type="gramEnd"/>
      <w:r w:rsidRPr="00C55EF1">
        <w:rPr>
          <w:b/>
          <w:bCs/>
          <w:sz w:val="24"/>
        </w:rPr>
        <w:t xml:space="preserve"> sociale promotion de l’égalité hommes-femmes </w:t>
      </w:r>
      <w:proofErr w:type="spellStart"/>
      <w:r w:rsidRPr="00C55EF1">
        <w:rPr>
          <w:b/>
          <w:bCs/>
          <w:sz w:val="24"/>
        </w:rPr>
        <w:t>et.ou</w:t>
      </w:r>
      <w:proofErr w:type="spellEnd"/>
      <w:r w:rsidRPr="00C55EF1">
        <w:rPr>
          <w:b/>
          <w:bCs/>
          <w:sz w:val="24"/>
        </w:rPr>
        <w:t xml:space="preserve"> valoris</w:t>
      </w:r>
      <w:r>
        <w:rPr>
          <w:b/>
          <w:bCs/>
          <w:sz w:val="24"/>
        </w:rPr>
        <w:t>ation de l’emploi des jeunes  </w:t>
      </w:r>
    </w:p>
    <w:p w14:paraId="3E3FA07F" w14:textId="77777777" w:rsidR="00C55EF1" w:rsidRPr="00C55EF1" w:rsidRDefault="00C55EF1" w:rsidP="00C55EF1">
      <w:pPr>
        <w:jc w:val="both"/>
        <w:rPr>
          <w:sz w:val="24"/>
        </w:rPr>
      </w:pPr>
      <w:r w:rsidRPr="00C55EF1">
        <w:rPr>
          <w:sz w:val="24"/>
        </w:rPr>
        <w:t>Dans la mesure du possible, le titulaire s’engage à promouvoir :</w:t>
      </w:r>
    </w:p>
    <w:p w14:paraId="29FCF6E3" w14:textId="77777777" w:rsidR="00C55EF1" w:rsidRPr="00C55EF1" w:rsidRDefault="00C55EF1" w:rsidP="00C55EF1">
      <w:pPr>
        <w:numPr>
          <w:ilvl w:val="0"/>
          <w:numId w:val="42"/>
        </w:numPr>
        <w:jc w:val="both"/>
        <w:rPr>
          <w:sz w:val="24"/>
        </w:rPr>
      </w:pPr>
      <w:proofErr w:type="gramStart"/>
      <w:r w:rsidRPr="00C55EF1">
        <w:rPr>
          <w:sz w:val="24"/>
        </w:rPr>
        <w:t>l’égalité</w:t>
      </w:r>
      <w:proofErr w:type="gramEnd"/>
      <w:r w:rsidRPr="00C55EF1">
        <w:rPr>
          <w:sz w:val="24"/>
        </w:rPr>
        <w:t xml:space="preserve"> professionnelle femmes/hommes </w:t>
      </w:r>
    </w:p>
    <w:p w14:paraId="689838A1" w14:textId="77777777" w:rsidR="00C55EF1" w:rsidRPr="00C55EF1" w:rsidRDefault="00C55EF1" w:rsidP="00C55EF1">
      <w:pPr>
        <w:numPr>
          <w:ilvl w:val="0"/>
          <w:numId w:val="42"/>
        </w:numPr>
        <w:jc w:val="both"/>
        <w:rPr>
          <w:sz w:val="24"/>
        </w:rPr>
      </w:pPr>
      <w:proofErr w:type="gramStart"/>
      <w:r w:rsidRPr="00C55EF1">
        <w:rPr>
          <w:sz w:val="24"/>
        </w:rPr>
        <w:t>ou</w:t>
      </w:r>
      <w:proofErr w:type="gramEnd"/>
      <w:r w:rsidRPr="00C55EF1">
        <w:rPr>
          <w:sz w:val="24"/>
        </w:rPr>
        <w:t xml:space="preserve"> à accueillir au minimum un jeune (moins de 26 ans) en stage ou en alternance pendant l’exécution du marché pour une durée minimale adaptée aux réalités locales (ex : 4 semaines).Dans tous les cas, il veillera à éviter tout stéréotype ou pratique discriminatoire au sein de l’équipe affectée au marché.</w:t>
      </w:r>
    </w:p>
    <w:p w14:paraId="32C17459" w14:textId="77777777" w:rsidR="00C55EF1" w:rsidRPr="00C55EF1" w:rsidRDefault="00C55EF1" w:rsidP="00C55EF1">
      <w:pPr>
        <w:jc w:val="both"/>
        <w:rPr>
          <w:sz w:val="24"/>
        </w:rPr>
      </w:pPr>
      <w:r w:rsidRPr="00C55EF1">
        <w:rPr>
          <w:sz w:val="24"/>
        </w:rPr>
        <w:t>À la fin du marché, le titulaire devra fournir une attestation simplifiée retraçant les actions sociales effectivement mises en œuvre, telles que l’accueil d’un jeune en stage ou les actions menées en faveur de l’égalité professionnelle.</w:t>
      </w:r>
    </w:p>
    <w:p w14:paraId="6CAFEDB0" w14:textId="3B876E26" w:rsidR="00C55EF1" w:rsidRPr="00C55EF1" w:rsidRDefault="00C55EF1" w:rsidP="00C55EF1">
      <w:pPr>
        <w:jc w:val="both"/>
        <w:outlineLvl w:val="0"/>
        <w:rPr>
          <w:b/>
          <w:bCs/>
          <w:sz w:val="24"/>
        </w:rPr>
      </w:pPr>
      <w:r>
        <w:rPr>
          <w:b/>
          <w:bCs/>
          <w:sz w:val="24"/>
        </w:rPr>
        <w:t>I.10.3 C</w:t>
      </w:r>
      <w:r w:rsidRPr="00C55EF1">
        <w:rPr>
          <w:b/>
          <w:bCs/>
          <w:sz w:val="24"/>
        </w:rPr>
        <w:t>lause environnementale </w:t>
      </w:r>
      <w:bookmarkStart w:id="0" w:name="_GoBack"/>
      <w:bookmarkEnd w:id="0"/>
      <w:r w:rsidRPr="00C55EF1">
        <w:rPr>
          <w:b/>
          <w:bCs/>
          <w:sz w:val="24"/>
        </w:rPr>
        <w:t xml:space="preserve"> </w:t>
      </w:r>
    </w:p>
    <w:p w14:paraId="343E6CED"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Dans le cadre du présent marché, le titulaire s’engage à réduire l’empreinte environnementale liée à l’exécution de ses prestations de services, en tenant compte des réalités locales et des capacités technologiques disponibles.</w:t>
      </w:r>
    </w:p>
    <w:p w14:paraId="59E5A0D4"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lastRenderedPageBreak/>
        <w:t>À ce titre, il devra mettre en œuvre les actions suivantes, dans la mesure du possible :</w:t>
      </w:r>
    </w:p>
    <w:p w14:paraId="5957D1F6"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utilisation raisonnée d’outils numériques favorisant la sobriété énergétique (ex. : logiciels peu consommateurs de ressources, serveurs mutualisés, plateformes légères) ;</w:t>
      </w:r>
    </w:p>
    <w:p w14:paraId="191EA841"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réduction de l’usage du papier, notamment par le recours aux échanges numériques, la dématérialisation des livrables, et l’impression en recto-verso ou en noir et blanc si nécessaire ;</w:t>
      </w:r>
    </w:p>
    <w:p w14:paraId="7D83F194" w14:textId="0511E4A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xml:space="preserve">– sensibilisation des équipes (salariés, consultants, prestataires locaux) aux </w:t>
      </w:r>
      <w:proofErr w:type="spellStart"/>
      <w:r w:rsidRPr="00C55EF1">
        <w:rPr>
          <w:rFonts w:ascii="Calibri" w:hAnsi="Calibri" w:cs="Calibri"/>
          <w:sz w:val="24"/>
        </w:rPr>
        <w:t>écogestes</w:t>
      </w:r>
      <w:proofErr w:type="spellEnd"/>
      <w:r w:rsidRPr="00C55EF1">
        <w:rPr>
          <w:rFonts w:ascii="Calibri" w:hAnsi="Calibri" w:cs="Calibri"/>
          <w:sz w:val="24"/>
        </w:rPr>
        <w:t xml:space="preserve"> et aux bonnes pratiques environnementales dans la réalisation des prestations intellectuelles, de formation, d’audit ou de conseil.</w:t>
      </w:r>
    </w:p>
    <w:p w14:paraId="49D7C396"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Le titulaire veillera à adapter ces actions aux conditions locales (accès au numérique, infrastructures disponibles) et à intégrer la logique de développement durable dans ses méthodes de travail.</w:t>
      </w:r>
    </w:p>
    <w:p w14:paraId="75771F0A"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À l’issue du marché, un bilan environnemental simplifié devra être transmis à l’acheteur. Ce document précisera les actions concrètes mises en œuvre, les outils ou méthodes utilisés, ainsi que les éventuelles limites rencontrées.</w:t>
      </w:r>
    </w:p>
    <w:p w14:paraId="6D0E8E36" w14:textId="7D65A7AB"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23AC97A1" w14:textId="2FDBA138" w:rsidR="00FC0BC7" w:rsidRPr="00E54414" w:rsidRDefault="00FC0BC7" w:rsidP="00FC0BC7">
      <w:pPr>
        <w:jc w:val="both"/>
        <w:outlineLvl w:val="0"/>
        <w:rPr>
          <w:b/>
          <w:bCs/>
          <w:sz w:val="24"/>
        </w:rPr>
      </w:pPr>
      <w:r w:rsidRPr="00E54414">
        <w:rPr>
          <w:b/>
          <w:bCs/>
          <w:sz w:val="24"/>
        </w:rPr>
        <w:t>I.1</w:t>
      </w:r>
      <w:r>
        <w:rPr>
          <w:b/>
          <w:bCs/>
          <w:sz w:val="24"/>
        </w:rPr>
        <w:t>0</w:t>
      </w:r>
      <w:r w:rsidRPr="00E54414">
        <w:rPr>
          <w:b/>
          <w:bCs/>
          <w:sz w:val="24"/>
        </w:rPr>
        <w:t>.</w:t>
      </w:r>
      <w:r w:rsidR="00C55EF1">
        <w:rPr>
          <w:b/>
          <w:bCs/>
          <w:sz w:val="24"/>
        </w:rPr>
        <w:t>4</w:t>
      </w:r>
      <w:r w:rsidRPr="00E54414">
        <w:rPr>
          <w:b/>
          <w:bCs/>
          <w:sz w:val="24"/>
        </w:rPr>
        <w:t xml:space="preserve"> Pénalité</w:t>
      </w:r>
      <w:r w:rsidR="00C55EF1">
        <w:rPr>
          <w:b/>
          <w:bCs/>
          <w:sz w:val="24"/>
        </w:rPr>
        <w:t>s</w:t>
      </w:r>
    </w:p>
    <w:p w14:paraId="2F41C18C" w14:textId="77777777" w:rsidR="00FC0BC7" w:rsidRPr="00D570A1" w:rsidRDefault="00FC0BC7" w:rsidP="00FC0BC7">
      <w:pPr>
        <w:spacing w:after="0" w:afterAutospacing="0"/>
        <w:jc w:val="both"/>
        <w:rPr>
          <w:sz w:val="24"/>
        </w:rPr>
      </w:pPr>
      <w:r w:rsidRPr="00D570A1">
        <w:rPr>
          <w:sz w:val="24"/>
        </w:rPr>
        <w:t>Les pénalités sont fixées forfaitairement à :</w:t>
      </w:r>
    </w:p>
    <w:p w14:paraId="08AAEB55" w14:textId="15BC70FC" w:rsidR="00FC0BC7" w:rsidRPr="00D570A1" w:rsidRDefault="000655F1" w:rsidP="00FC0BC7">
      <w:pPr>
        <w:pStyle w:val="Paragraphedeliste"/>
        <w:numPr>
          <w:ilvl w:val="0"/>
          <w:numId w:val="39"/>
        </w:numPr>
        <w:spacing w:before="0" w:beforeAutospacing="0"/>
        <w:jc w:val="both"/>
        <w:rPr>
          <w:sz w:val="24"/>
        </w:rPr>
      </w:pPr>
      <w:r>
        <w:rPr>
          <w:sz w:val="24"/>
        </w:rPr>
        <w:t xml:space="preserve">100 </w:t>
      </w:r>
      <w:r w:rsidR="00FC0BC7" w:rsidRPr="00D570A1">
        <w:rPr>
          <w:sz w:val="24"/>
        </w:rPr>
        <w:t>€ net par jour de retard dans le versement des salaires aux salariés portés et des cotisations sociales et impôts/taxes ;</w:t>
      </w:r>
    </w:p>
    <w:p w14:paraId="2012DCB2" w14:textId="77777777" w:rsidR="00FC0BC7" w:rsidRPr="00D570A1" w:rsidRDefault="00FC0BC7" w:rsidP="00FC0BC7">
      <w:pPr>
        <w:pStyle w:val="Paragraphedeliste"/>
        <w:numPr>
          <w:ilvl w:val="0"/>
          <w:numId w:val="39"/>
        </w:numPr>
        <w:jc w:val="both"/>
        <w:rPr>
          <w:sz w:val="24"/>
        </w:rPr>
      </w:pPr>
      <w:r>
        <w:rPr>
          <w:sz w:val="24"/>
        </w:rPr>
        <w:t>20</w:t>
      </w:r>
      <w:r w:rsidRPr="00D570A1">
        <w:rPr>
          <w:sz w:val="24"/>
        </w:rPr>
        <w:t xml:space="preserve"> € net par semaine de retard dans la remise des livrables ;</w:t>
      </w:r>
    </w:p>
    <w:p w14:paraId="0EA950B7" w14:textId="25F7D22D" w:rsidR="00FC0BC7" w:rsidRDefault="00FC0BC7" w:rsidP="00FC0BC7">
      <w:pPr>
        <w:jc w:val="both"/>
        <w:rPr>
          <w:sz w:val="24"/>
        </w:rPr>
      </w:pPr>
      <w:proofErr w:type="gramStart"/>
      <w:r w:rsidRPr="00D570A1">
        <w:rPr>
          <w:sz w:val="24"/>
        </w:rPr>
        <w:t>à</w:t>
      </w:r>
      <w:proofErr w:type="gramEnd"/>
      <w:r w:rsidRPr="00D570A1">
        <w:rPr>
          <w:sz w:val="24"/>
        </w:rPr>
        <w:t xml:space="preserve"> moins que ce retard ne soit imputable</w:t>
      </w:r>
      <w:r>
        <w:rPr>
          <w:sz w:val="24"/>
        </w:rPr>
        <w:t xml:space="preserve"> à Expertise France ou à un tiers</w:t>
      </w:r>
      <w:r w:rsidRPr="00D570A1">
        <w:rPr>
          <w:sz w:val="24"/>
        </w:rPr>
        <w:t>.</w:t>
      </w:r>
    </w:p>
    <w:p w14:paraId="52919547" w14:textId="2ACC5C5B" w:rsidR="00191A2F" w:rsidRPr="00191A2F" w:rsidRDefault="00191A2F" w:rsidP="00191A2F">
      <w:pPr>
        <w:jc w:val="both"/>
        <w:rPr>
          <w:sz w:val="24"/>
        </w:rPr>
      </w:pPr>
      <w:r>
        <w:rPr>
          <w:sz w:val="24"/>
        </w:rPr>
        <w:t>Outre, les pénalités ci-dessus des p</w:t>
      </w:r>
      <w:r w:rsidRPr="00191A2F">
        <w:rPr>
          <w:sz w:val="24"/>
        </w:rPr>
        <w:t xml:space="preserve">énalités </w:t>
      </w:r>
      <w:r>
        <w:rPr>
          <w:sz w:val="24"/>
        </w:rPr>
        <w:t xml:space="preserve">seront appliquées </w:t>
      </w:r>
      <w:r w:rsidRPr="00191A2F">
        <w:rPr>
          <w:sz w:val="24"/>
        </w:rPr>
        <w:t>en cas de méconnaissance de la règlementation relative à la protection des</w:t>
      </w:r>
      <w:r>
        <w:rPr>
          <w:sz w:val="24"/>
        </w:rPr>
        <w:t xml:space="preserve"> </w:t>
      </w:r>
      <w:r w:rsidRPr="00191A2F">
        <w:rPr>
          <w:sz w:val="24"/>
        </w:rPr>
        <w:t>données à caractère personnel</w:t>
      </w:r>
      <w:r>
        <w:rPr>
          <w:sz w:val="24"/>
        </w:rPr>
        <w:t> :</w:t>
      </w:r>
    </w:p>
    <w:p w14:paraId="3618B5C9" w14:textId="77777777" w:rsidR="00191A2F" w:rsidRPr="00191A2F" w:rsidRDefault="00191A2F" w:rsidP="00191A2F">
      <w:pPr>
        <w:jc w:val="both"/>
        <w:rPr>
          <w:sz w:val="24"/>
        </w:rPr>
      </w:pPr>
      <w:r w:rsidRPr="00191A2F">
        <w:rPr>
          <w:sz w:val="24"/>
        </w:rPr>
        <w:t>Le titulaire encourt une pénalité de :</w:t>
      </w:r>
    </w:p>
    <w:p w14:paraId="6D02B68F" w14:textId="77777777" w:rsidR="00191A2F" w:rsidRPr="00191A2F" w:rsidRDefault="00191A2F" w:rsidP="00191A2F">
      <w:pPr>
        <w:jc w:val="both"/>
        <w:rPr>
          <w:sz w:val="24"/>
        </w:rPr>
      </w:pPr>
      <w:r w:rsidRPr="00191A2F">
        <w:rPr>
          <w:sz w:val="24"/>
        </w:rPr>
        <w:t>- 800,00 € par infraction constatée</w:t>
      </w:r>
    </w:p>
    <w:p w14:paraId="787AC5C6" w14:textId="7891512A" w:rsidR="00C55EF1" w:rsidRDefault="00191A2F" w:rsidP="00191A2F">
      <w:pPr>
        <w:jc w:val="both"/>
        <w:rPr>
          <w:sz w:val="24"/>
        </w:rPr>
      </w:pPr>
      <w:r w:rsidRPr="00191A2F">
        <w:rPr>
          <w:sz w:val="24"/>
        </w:rPr>
        <w:t>- 1 600,00 € par infraction constatée en cas de récidiv</w:t>
      </w:r>
      <w:r>
        <w:rPr>
          <w:sz w:val="24"/>
        </w:rPr>
        <w:t>e</w:t>
      </w:r>
    </w:p>
    <w:p w14:paraId="79E3B6E2" w14:textId="04ED4243" w:rsidR="00C55EF1" w:rsidRPr="00D570A1" w:rsidRDefault="00C55EF1" w:rsidP="00191A2F">
      <w:pPr>
        <w:jc w:val="both"/>
        <w:rPr>
          <w:sz w:val="24"/>
        </w:rPr>
      </w:pPr>
      <w:r>
        <w:rPr>
          <w:sz w:val="24"/>
        </w:rPr>
        <w:t xml:space="preserve">Le candidat </w:t>
      </w:r>
      <w:proofErr w:type="gramStart"/>
      <w:r>
        <w:rPr>
          <w:sz w:val="24"/>
        </w:rPr>
        <w:t>encours</w:t>
      </w:r>
      <w:proofErr w:type="gramEnd"/>
      <w:r>
        <w:rPr>
          <w:sz w:val="24"/>
        </w:rPr>
        <w:t xml:space="preserve"> une pénalité de </w:t>
      </w:r>
    </w:p>
    <w:p w14:paraId="108A2ADD" w14:textId="77777777" w:rsidR="00FC0BC7" w:rsidRPr="00BF67F2" w:rsidRDefault="00FC0BC7" w:rsidP="00FC0BC7">
      <w:pPr>
        <w:jc w:val="both"/>
        <w:rPr>
          <w:sz w:val="24"/>
        </w:rPr>
      </w:pPr>
      <w:r w:rsidRPr="00BF67F2">
        <w:rPr>
          <w:sz w:val="24"/>
        </w:rPr>
        <w:lastRenderedPageBreak/>
        <w:t>Le montant des pénalités sera appliqué dans le calcul du solde des versements dus au titre des contrats spécifiques ou des bons de commande concernés.</w:t>
      </w:r>
    </w:p>
    <w:p w14:paraId="1DD2F4AD" w14:textId="5868A1FD" w:rsidR="00FC0BC7" w:rsidRDefault="00FC0BC7" w:rsidP="00FC0BC7">
      <w:pPr>
        <w:jc w:val="both"/>
        <w:rPr>
          <w:sz w:val="24"/>
        </w:rPr>
      </w:pPr>
      <w:r w:rsidRPr="00BF67F2">
        <w:rPr>
          <w:sz w:val="24"/>
        </w:rPr>
        <w:t xml:space="preserve">En toutes hypothèses, le montant des pénalités ne pourra dépasser 10% de la valeur du contrat spécifique </w:t>
      </w:r>
      <w:r>
        <w:rPr>
          <w:sz w:val="24"/>
        </w:rPr>
        <w:t>ou du bon de commande concerné.</w:t>
      </w:r>
    </w:p>
    <w:p w14:paraId="41014599" w14:textId="57FD90E6" w:rsidR="00FC0BC7" w:rsidRPr="00E54414" w:rsidRDefault="00FC0BC7" w:rsidP="00FC0BC7">
      <w:pPr>
        <w:jc w:val="both"/>
        <w:outlineLvl w:val="0"/>
        <w:rPr>
          <w:b/>
          <w:bCs/>
          <w:sz w:val="24"/>
        </w:rPr>
      </w:pPr>
      <w:r w:rsidRPr="00E54414">
        <w:rPr>
          <w:b/>
          <w:bCs/>
          <w:sz w:val="24"/>
        </w:rPr>
        <w:t>I.1</w:t>
      </w:r>
      <w:r>
        <w:rPr>
          <w:b/>
          <w:bCs/>
          <w:sz w:val="24"/>
        </w:rPr>
        <w:t>0</w:t>
      </w:r>
      <w:r w:rsidRPr="00E54414">
        <w:rPr>
          <w:b/>
          <w:bCs/>
          <w:sz w:val="24"/>
        </w:rPr>
        <w:t>.</w:t>
      </w:r>
      <w:r w:rsidR="00C55EF1">
        <w:rPr>
          <w:b/>
          <w:bCs/>
          <w:sz w:val="24"/>
        </w:rPr>
        <w:t>5</w:t>
      </w:r>
      <w:r w:rsidRPr="00E54414">
        <w:rPr>
          <w:b/>
          <w:bCs/>
          <w:sz w:val="24"/>
        </w:rPr>
        <w:t xml:space="preserve"> </w:t>
      </w:r>
      <w:r>
        <w:rPr>
          <w:b/>
          <w:bCs/>
          <w:sz w:val="24"/>
        </w:rPr>
        <w:t>Pilotage et suivi des prestations</w:t>
      </w:r>
    </w:p>
    <w:p w14:paraId="68D7D3A0" w14:textId="77777777" w:rsidR="00FC0BC7" w:rsidRPr="00D570A1" w:rsidRDefault="00FC0BC7" w:rsidP="00FC0BC7">
      <w:pPr>
        <w:jc w:val="both"/>
        <w:outlineLvl w:val="0"/>
        <w:rPr>
          <w:sz w:val="24"/>
        </w:rPr>
      </w:pPr>
      <w:r w:rsidRPr="00D570A1">
        <w:rPr>
          <w:sz w:val="24"/>
        </w:rPr>
        <w:t xml:space="preserve">Dans le cadre de l’exécution </w:t>
      </w:r>
      <w:r>
        <w:rPr>
          <w:sz w:val="24"/>
        </w:rPr>
        <w:t>du CC</w:t>
      </w:r>
      <w:r w:rsidRPr="00D570A1">
        <w:rPr>
          <w:sz w:val="24"/>
        </w:rPr>
        <w:t>, des réunions entre les parties sont mises en place.</w:t>
      </w:r>
    </w:p>
    <w:p w14:paraId="3ADE812F" w14:textId="77777777" w:rsidR="00FC0BC7" w:rsidRPr="00D570A1" w:rsidRDefault="00FC0BC7" w:rsidP="00FC0BC7">
      <w:pPr>
        <w:outlineLvl w:val="0"/>
        <w:rPr>
          <w:i/>
          <w:sz w:val="24"/>
          <w:u w:val="single"/>
        </w:rPr>
      </w:pPr>
      <w:r w:rsidRPr="00D570A1">
        <w:rPr>
          <w:i/>
          <w:sz w:val="24"/>
          <w:u w:val="single"/>
        </w:rPr>
        <w:t>Réunion de démarrage</w:t>
      </w:r>
    </w:p>
    <w:p w14:paraId="050EBCAC" w14:textId="77777777" w:rsidR="00FC0BC7" w:rsidRPr="00D570A1" w:rsidRDefault="00FC0BC7" w:rsidP="00FC0BC7">
      <w:pPr>
        <w:jc w:val="both"/>
        <w:outlineLvl w:val="0"/>
        <w:rPr>
          <w:sz w:val="24"/>
        </w:rPr>
      </w:pPr>
      <w:r w:rsidRPr="00D570A1">
        <w:rPr>
          <w:sz w:val="24"/>
        </w:rPr>
        <w:t xml:space="preserve">Suite à la notification </w:t>
      </w:r>
      <w:r>
        <w:rPr>
          <w:sz w:val="24"/>
        </w:rPr>
        <w:t>du CC</w:t>
      </w:r>
      <w:r w:rsidRPr="00D570A1">
        <w:rPr>
          <w:sz w:val="24"/>
        </w:rPr>
        <w:t>, une réunion de démarrage a lieu, à l’initiative du pouvoir adjudicateur. Cette réunion peut se tenir soit en présentiel dans les locaux du pouvoir adjudicateur, soit à distance.</w:t>
      </w:r>
    </w:p>
    <w:p w14:paraId="2168C8BC" w14:textId="77777777" w:rsidR="00FC0BC7" w:rsidRPr="00D570A1" w:rsidRDefault="00FC0BC7" w:rsidP="00FC0BC7">
      <w:pPr>
        <w:jc w:val="both"/>
        <w:outlineLvl w:val="0"/>
        <w:rPr>
          <w:sz w:val="24"/>
        </w:rPr>
      </w:pPr>
      <w:r w:rsidRPr="00D570A1">
        <w:rPr>
          <w:sz w:val="24"/>
        </w:rPr>
        <w:t>Cette réunion a notamment pour objet que chacune des parties puisse se présenter et définir les bases opérationnelles de la relation et échanger sur toute autre question relative à l’accord-cadre.</w:t>
      </w:r>
    </w:p>
    <w:p w14:paraId="4BE99B41" w14:textId="73D70B2E" w:rsidR="00FC0BC7" w:rsidRPr="00D570A1" w:rsidRDefault="00FC0BC7" w:rsidP="00FC0BC7">
      <w:pPr>
        <w:outlineLvl w:val="0"/>
        <w:rPr>
          <w:i/>
          <w:sz w:val="24"/>
          <w:u w:val="single"/>
        </w:rPr>
      </w:pPr>
      <w:r w:rsidRPr="00D570A1">
        <w:rPr>
          <w:i/>
          <w:sz w:val="24"/>
          <w:u w:val="single"/>
        </w:rPr>
        <w:t>Réunion annuelle de revue de compte</w:t>
      </w:r>
    </w:p>
    <w:p w14:paraId="5BF5E6FA" w14:textId="77777777" w:rsidR="00FC0BC7" w:rsidRPr="00D570A1" w:rsidRDefault="00FC0BC7" w:rsidP="00FC0BC7">
      <w:pPr>
        <w:jc w:val="both"/>
        <w:outlineLvl w:val="0"/>
        <w:rPr>
          <w:sz w:val="24"/>
        </w:rPr>
      </w:pPr>
      <w:r w:rsidRPr="00D570A1">
        <w:rPr>
          <w:sz w:val="24"/>
        </w:rPr>
        <w:t>A la date anniversaire</w:t>
      </w:r>
      <w:r>
        <w:rPr>
          <w:sz w:val="24"/>
        </w:rPr>
        <w:t xml:space="preserve"> du CC</w:t>
      </w:r>
      <w:r w:rsidRPr="00D570A1">
        <w:rPr>
          <w:sz w:val="24"/>
        </w:rPr>
        <w:t>, une réunion annuelle de revue de compte a lieu à l’initiative du pouvoir adjudicateur. Cette réunion peut se tenir soit en présentiel dans les locaux du pouvoir adjudicateur, soit à distance.</w:t>
      </w:r>
    </w:p>
    <w:p w14:paraId="03AAE0E9" w14:textId="77777777" w:rsidR="00FC0BC7" w:rsidRPr="00D570A1" w:rsidRDefault="00FC0BC7" w:rsidP="00FC0BC7">
      <w:pPr>
        <w:jc w:val="both"/>
        <w:outlineLvl w:val="0"/>
        <w:rPr>
          <w:i/>
          <w:sz w:val="24"/>
          <w:u w:val="single"/>
        </w:rPr>
      </w:pPr>
      <w:r w:rsidRPr="00D570A1">
        <w:rPr>
          <w:i/>
          <w:sz w:val="24"/>
          <w:u w:val="single"/>
        </w:rPr>
        <w:t>Autres réunions</w:t>
      </w:r>
    </w:p>
    <w:p w14:paraId="4D830730" w14:textId="77777777" w:rsidR="00FC0BC7" w:rsidRPr="00D570A1" w:rsidRDefault="00FC0BC7" w:rsidP="00FC0BC7">
      <w:pPr>
        <w:jc w:val="both"/>
        <w:outlineLvl w:val="0"/>
        <w:rPr>
          <w:sz w:val="24"/>
        </w:rPr>
      </w:pPr>
      <w:r w:rsidRPr="00D570A1">
        <w:rPr>
          <w:sz w:val="24"/>
        </w:rPr>
        <w:t>Le pouvoir adjudicateur se réserve le droit de mettre en œu</w:t>
      </w:r>
      <w:r>
        <w:rPr>
          <w:sz w:val="24"/>
        </w:rPr>
        <w:t xml:space="preserve">vre au cours de l’exécution du CC </w:t>
      </w:r>
      <w:r w:rsidRPr="00D570A1">
        <w:rPr>
          <w:sz w:val="24"/>
        </w:rPr>
        <w:t>toute réunion qui serait rendue nécessaire pour son suivi et sa bonne exécution.</w:t>
      </w:r>
    </w:p>
    <w:p w14:paraId="36B78D49" w14:textId="77777777" w:rsidR="00FC0BC7" w:rsidRPr="00D570A1" w:rsidRDefault="00FC0BC7" w:rsidP="00FC0BC7">
      <w:pPr>
        <w:jc w:val="both"/>
        <w:outlineLvl w:val="0"/>
        <w:rPr>
          <w:sz w:val="24"/>
        </w:rPr>
      </w:pPr>
      <w:r w:rsidRPr="00D570A1">
        <w:rPr>
          <w:sz w:val="24"/>
        </w:rPr>
        <w:t xml:space="preserve">En cas de problèmes récurrents dans l’exécution des prestations, les parties, sur demande motivée et écrite de l’une ou l’autre partie, peuvent convenir de se rencontrer pour solutionner au mieux les problèmes survenus. </w:t>
      </w:r>
    </w:p>
    <w:p w14:paraId="3AB402FC" w14:textId="77777777" w:rsidR="00FC0BC7" w:rsidRPr="00D570A1" w:rsidRDefault="00FC0BC7" w:rsidP="00FC0BC7">
      <w:pPr>
        <w:jc w:val="both"/>
        <w:outlineLvl w:val="0"/>
        <w:rPr>
          <w:sz w:val="24"/>
        </w:rPr>
      </w:pPr>
      <w:r w:rsidRPr="00D570A1">
        <w:rPr>
          <w:sz w:val="24"/>
        </w:rPr>
        <w:t xml:space="preserve">Le pouvoir adjudicateur peut prévoir une réunion de bilan, soit en présentiel dans ses locaux soit à distance notamment en vue de préparer le renouvellement du prochain accord-cadre afin d’en dégager les points forts et les pistes d’amélioration. </w:t>
      </w:r>
    </w:p>
    <w:p w14:paraId="26E352BE" w14:textId="77777777" w:rsidR="00FC0BC7" w:rsidRPr="00D570A1" w:rsidRDefault="00FC0BC7" w:rsidP="00FC0BC7">
      <w:pPr>
        <w:jc w:val="both"/>
        <w:outlineLvl w:val="0"/>
        <w:rPr>
          <w:sz w:val="24"/>
        </w:rPr>
      </w:pPr>
      <w:r w:rsidRPr="00D570A1">
        <w:rPr>
          <w:sz w:val="24"/>
        </w:rPr>
        <w:t xml:space="preserve">A l'issue de chaque réunion, un compte-rendu est rédigé par le contractant et transmis au pouvoir adjudicateur. </w:t>
      </w:r>
    </w:p>
    <w:p w14:paraId="79EA0AA7" w14:textId="6AE1D9C9" w:rsidR="00FC0BC7" w:rsidRDefault="00FC0BC7" w:rsidP="00FC0BC7">
      <w:pPr>
        <w:jc w:val="both"/>
        <w:outlineLvl w:val="0"/>
        <w:rPr>
          <w:sz w:val="24"/>
        </w:rPr>
      </w:pPr>
      <w:r w:rsidRPr="00D570A1">
        <w:rPr>
          <w:sz w:val="24"/>
        </w:rPr>
        <w:t>La gestion des actions soulevées lors de ces réunions est faite par le représentant du contractant.</w:t>
      </w:r>
    </w:p>
    <w:p w14:paraId="756CDBFB" w14:textId="77777777" w:rsidR="000C4834" w:rsidRDefault="000C4834" w:rsidP="00FC0BC7">
      <w:pPr>
        <w:jc w:val="both"/>
        <w:outlineLvl w:val="0"/>
        <w:rPr>
          <w:sz w:val="24"/>
        </w:rPr>
      </w:pPr>
    </w:p>
    <w:p w14:paraId="1300DC0A" w14:textId="77777777" w:rsidR="00FC0BC7" w:rsidRPr="000D3D7C" w:rsidRDefault="00FC0BC7" w:rsidP="00FC0BC7">
      <w:pPr>
        <w:outlineLvl w:val="0"/>
        <w:rPr>
          <w:i/>
          <w:sz w:val="24"/>
          <w:u w:val="single"/>
        </w:rPr>
      </w:pPr>
      <w:r w:rsidRPr="000D3D7C">
        <w:rPr>
          <w:i/>
          <w:sz w:val="24"/>
          <w:u w:val="single"/>
        </w:rPr>
        <w:t>Etat d’activité</w:t>
      </w:r>
    </w:p>
    <w:p w14:paraId="23063284" w14:textId="77777777" w:rsidR="00FC0BC7" w:rsidRPr="00D570A1" w:rsidRDefault="00FC0BC7" w:rsidP="000819BC">
      <w:pPr>
        <w:jc w:val="both"/>
        <w:outlineLvl w:val="0"/>
        <w:rPr>
          <w:sz w:val="24"/>
        </w:rPr>
      </w:pPr>
      <w:r w:rsidRPr="00D570A1">
        <w:rPr>
          <w:sz w:val="24"/>
        </w:rPr>
        <w:t xml:space="preserve">Le contractant remet un état mensuel d’activité au format Excel ou équivalent comportant les éléments suivants : </w:t>
      </w:r>
    </w:p>
    <w:p w14:paraId="3FCCC559"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référence du présent contrat ;</w:t>
      </w:r>
    </w:p>
    <w:p w14:paraId="2DBBC78B"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référence du bon de commande indiqué sur celui-ci ;</w:t>
      </w:r>
    </w:p>
    <w:p w14:paraId="17E2DBAB" w14:textId="77777777" w:rsidR="00FC0BC7" w:rsidRPr="00D570A1" w:rsidRDefault="00FC0BC7" w:rsidP="00FC0BC7">
      <w:pPr>
        <w:pStyle w:val="Paragraphedeliste"/>
        <w:numPr>
          <w:ilvl w:val="0"/>
          <w:numId w:val="40"/>
        </w:numPr>
        <w:outlineLvl w:val="0"/>
        <w:rPr>
          <w:sz w:val="24"/>
        </w:rPr>
      </w:pPr>
      <w:proofErr w:type="gramStart"/>
      <w:r w:rsidRPr="00D570A1">
        <w:rPr>
          <w:sz w:val="24"/>
        </w:rPr>
        <w:t>les</w:t>
      </w:r>
      <w:proofErr w:type="gramEnd"/>
      <w:r w:rsidRPr="00D570A1">
        <w:rPr>
          <w:sz w:val="24"/>
        </w:rPr>
        <w:t xml:space="preserve"> nom et prénom  du référent indiqué sur le bon de commande ;</w:t>
      </w:r>
    </w:p>
    <w:p w14:paraId="7511DD20" w14:textId="77777777" w:rsidR="00FC0BC7" w:rsidRPr="00D570A1" w:rsidRDefault="00FC0BC7" w:rsidP="00FC0BC7">
      <w:pPr>
        <w:pStyle w:val="Paragraphedeliste"/>
        <w:numPr>
          <w:ilvl w:val="0"/>
          <w:numId w:val="40"/>
        </w:numPr>
        <w:outlineLvl w:val="0"/>
        <w:rPr>
          <w:sz w:val="24"/>
        </w:rPr>
      </w:pPr>
      <w:proofErr w:type="gramStart"/>
      <w:r w:rsidRPr="00D570A1">
        <w:rPr>
          <w:sz w:val="24"/>
        </w:rPr>
        <w:t>le</w:t>
      </w:r>
      <w:proofErr w:type="gramEnd"/>
      <w:r w:rsidRPr="00D570A1">
        <w:rPr>
          <w:sz w:val="24"/>
        </w:rPr>
        <w:t xml:space="preserve"> code et l’intitulé court du projet indiqué sur le bon de commande ;</w:t>
      </w:r>
    </w:p>
    <w:p w14:paraId="495D02B2" w14:textId="77777777" w:rsidR="00FC0BC7" w:rsidRPr="00D570A1" w:rsidRDefault="00FC0BC7" w:rsidP="00FC0BC7">
      <w:pPr>
        <w:pStyle w:val="Paragraphedeliste"/>
        <w:numPr>
          <w:ilvl w:val="0"/>
          <w:numId w:val="40"/>
        </w:numPr>
        <w:outlineLvl w:val="0"/>
        <w:rPr>
          <w:sz w:val="24"/>
        </w:rPr>
      </w:pPr>
      <w:proofErr w:type="gramStart"/>
      <w:r w:rsidRPr="00D570A1">
        <w:rPr>
          <w:sz w:val="24"/>
        </w:rPr>
        <w:t>le</w:t>
      </w:r>
      <w:proofErr w:type="gramEnd"/>
      <w:r w:rsidRPr="00D570A1">
        <w:rPr>
          <w:sz w:val="24"/>
        </w:rPr>
        <w:t xml:space="preserve"> nom et le prénom de la personne portée ;</w:t>
      </w:r>
    </w:p>
    <w:p w14:paraId="103D3A10"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nationalité de la personne portée ;</w:t>
      </w:r>
    </w:p>
    <w:p w14:paraId="17E931A9" w14:textId="77777777" w:rsidR="00FC0BC7" w:rsidRPr="00D570A1" w:rsidRDefault="00FC0BC7" w:rsidP="00FC0BC7">
      <w:pPr>
        <w:pStyle w:val="Paragraphedeliste"/>
        <w:numPr>
          <w:ilvl w:val="0"/>
          <w:numId w:val="40"/>
        </w:numPr>
        <w:outlineLvl w:val="0"/>
        <w:rPr>
          <w:sz w:val="24"/>
        </w:rPr>
      </w:pPr>
      <w:proofErr w:type="gramStart"/>
      <w:r w:rsidRPr="00D570A1">
        <w:rPr>
          <w:sz w:val="24"/>
        </w:rPr>
        <w:t>l’intitulé</w:t>
      </w:r>
      <w:proofErr w:type="gramEnd"/>
      <w:r w:rsidRPr="00D570A1">
        <w:rPr>
          <w:sz w:val="24"/>
        </w:rPr>
        <w:t xml:space="preserve"> de la mission/du poste ;</w:t>
      </w:r>
    </w:p>
    <w:p w14:paraId="6822DC8F"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quotité de travail ;</w:t>
      </w:r>
    </w:p>
    <w:p w14:paraId="1C7454AF"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durée des missions/du contrat de travail (en mois) initiaux et mis à jour en cas de modification ;</w:t>
      </w:r>
    </w:p>
    <w:p w14:paraId="35E18548" w14:textId="77777777" w:rsidR="00FC0BC7" w:rsidRPr="00D570A1" w:rsidRDefault="00FC0BC7" w:rsidP="000819BC">
      <w:pPr>
        <w:pStyle w:val="Paragraphedeliste"/>
        <w:numPr>
          <w:ilvl w:val="0"/>
          <w:numId w:val="40"/>
        </w:numPr>
        <w:ind w:left="714" w:hanging="357"/>
        <w:outlineLvl w:val="0"/>
        <w:rPr>
          <w:sz w:val="24"/>
        </w:rPr>
      </w:pPr>
      <w:proofErr w:type="gramStart"/>
      <w:r w:rsidRPr="00D570A1">
        <w:rPr>
          <w:sz w:val="24"/>
        </w:rPr>
        <w:t>la</w:t>
      </w:r>
      <w:proofErr w:type="gramEnd"/>
      <w:r w:rsidRPr="00D570A1">
        <w:rPr>
          <w:sz w:val="24"/>
        </w:rPr>
        <w:t xml:space="preserve"> date de début des missions/du contrat de travail, la date de fin des missions/du contrat de travail et la date de fin mise à jour en cas de modification ;</w:t>
      </w:r>
    </w:p>
    <w:p w14:paraId="00BFDF18" w14:textId="77777777" w:rsidR="00FC0BC7" w:rsidRDefault="00FC0BC7" w:rsidP="000819BC">
      <w:pPr>
        <w:pStyle w:val="Paragraphedeliste"/>
        <w:numPr>
          <w:ilvl w:val="0"/>
          <w:numId w:val="40"/>
        </w:numPr>
        <w:outlineLvl w:val="0"/>
        <w:rPr>
          <w:sz w:val="24"/>
        </w:rPr>
      </w:pPr>
      <w:proofErr w:type="gramStart"/>
      <w:r w:rsidRPr="00D570A1">
        <w:rPr>
          <w:sz w:val="24"/>
        </w:rPr>
        <w:t>les</w:t>
      </w:r>
      <w:proofErr w:type="gramEnd"/>
      <w:r w:rsidRPr="00D570A1">
        <w:rPr>
          <w:sz w:val="24"/>
        </w:rPr>
        <w:t xml:space="preserve"> montants commandés, les montants facturés et les montants réglés de manière globale et de manière détaillée suivant le type de dépense.</w:t>
      </w:r>
    </w:p>
    <w:p w14:paraId="521A2041" w14:textId="75A08F81" w:rsidR="00FC0BC7" w:rsidRDefault="00FC0BC7" w:rsidP="00FC0BC7">
      <w:pPr>
        <w:spacing w:before="0" w:beforeAutospacing="0" w:after="360" w:afterAutospacing="0"/>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signatures</w:t>
      </w:r>
    </w:p>
    <w:p w14:paraId="4B4EB03F" w14:textId="5BDE3CD6" w:rsidR="00B06C48" w:rsidRDefault="00B06C48" w:rsidP="00FC0BC7">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Pr="000C4834" w:rsidRDefault="00B06C48" w:rsidP="0055559F">
      <w:pPr>
        <w:numPr>
          <w:ilvl w:val="0"/>
          <w:numId w:val="33"/>
        </w:numPr>
        <w:ind w:left="993" w:hanging="284"/>
        <w:jc w:val="both"/>
        <w:outlineLvl w:val="0"/>
        <w:rPr>
          <w:bCs/>
        </w:rPr>
      </w:pPr>
      <w:r w:rsidRPr="000C4834">
        <w:rPr>
          <w:bCs/>
        </w:rPr>
        <w:t xml:space="preserve">pour les Nations Unies, recueil des listes de sanctions du Conseil de sécurité des Nations Unies : </w:t>
      </w:r>
      <w:hyperlink r:id="rId12" w:history="1">
        <w:r w:rsidR="009F4A57" w:rsidRPr="000C4834">
          <w:rPr>
            <w:rStyle w:val="Lienhypertexte"/>
            <w:bCs/>
          </w:rPr>
          <w:t>https://www.un.org/securitycouncil/content/un-sc-consolidated-list</w:t>
        </w:r>
      </w:hyperlink>
      <w:r w:rsidRPr="000C4834">
        <w:rPr>
          <w:bCs/>
        </w:rPr>
        <w:t>,</w:t>
      </w:r>
    </w:p>
    <w:p w14:paraId="2558B6F8" w14:textId="77777777" w:rsidR="00B06C48" w:rsidRPr="000C4834" w:rsidRDefault="00B06C48" w:rsidP="0055559F">
      <w:pPr>
        <w:numPr>
          <w:ilvl w:val="0"/>
          <w:numId w:val="33"/>
        </w:numPr>
        <w:ind w:left="993" w:hanging="284"/>
        <w:jc w:val="both"/>
        <w:outlineLvl w:val="0"/>
        <w:rPr>
          <w:bCs/>
        </w:rPr>
      </w:pPr>
      <w:r w:rsidRPr="000C4834">
        <w:rPr>
          <w:bCs/>
        </w:rPr>
        <w:t xml:space="preserve">pour l’Union européenne, les listes peuvent être consultées à l’adresse suivante : </w:t>
      </w:r>
      <w:hyperlink r:id="rId13" w:history="1">
        <w:r w:rsidRPr="000C4834">
          <w:rPr>
            <w:rStyle w:val="Lienhypertexte"/>
            <w:bCs/>
          </w:rPr>
          <w:t>https://www.sanctionsmap.eu</w:t>
        </w:r>
      </w:hyperlink>
      <w:r w:rsidRPr="000C4834">
        <w:rPr>
          <w:bCs/>
        </w:rPr>
        <w:t>,</w:t>
      </w:r>
    </w:p>
    <w:p w14:paraId="5FA24A37" w14:textId="2716D149" w:rsidR="004974A6" w:rsidRPr="000C4834" w:rsidRDefault="00B06C48" w:rsidP="0055559F">
      <w:pPr>
        <w:numPr>
          <w:ilvl w:val="0"/>
          <w:numId w:val="33"/>
        </w:numPr>
        <w:ind w:left="993" w:hanging="284"/>
        <w:jc w:val="both"/>
        <w:outlineLvl w:val="0"/>
        <w:rPr>
          <w:bCs/>
        </w:rPr>
      </w:pPr>
      <w:r w:rsidRPr="000C4834">
        <w:rPr>
          <w:bCs/>
        </w:rPr>
        <w:t xml:space="preserve">pour la France, voir : </w:t>
      </w:r>
      <w:hyperlink r:id="rId14" w:history="1">
        <w:r w:rsidR="009F4A57" w:rsidRPr="000C4834">
          <w:rPr>
            <w:rStyle w:val="Lienhypertexte"/>
            <w:bCs/>
          </w:rPr>
          <w:t>https://gels-avoirs.dgtresor.gouv.fr/List</w:t>
        </w:r>
      </w:hyperlink>
      <w:r w:rsidR="004974A6" w:rsidRPr="000C4834">
        <w:rPr>
          <w:bCs/>
        </w:rPr>
        <w:t>,</w:t>
      </w:r>
    </w:p>
    <w:p w14:paraId="57700755" w14:textId="7E4E0408" w:rsidR="00B06C48" w:rsidRPr="000C4834" w:rsidRDefault="004974A6" w:rsidP="0055559F">
      <w:pPr>
        <w:numPr>
          <w:ilvl w:val="0"/>
          <w:numId w:val="33"/>
        </w:numPr>
        <w:ind w:left="993" w:hanging="284"/>
        <w:jc w:val="both"/>
        <w:outlineLvl w:val="0"/>
        <w:rPr>
          <w:bCs/>
        </w:rPr>
      </w:pPr>
      <w:r w:rsidRPr="000C4834">
        <w:rPr>
          <w:bCs/>
        </w:rPr>
        <w:lastRenderedPageBreak/>
        <w:t xml:space="preserve">pour les Etats-Unis, voir : </w:t>
      </w:r>
      <w:hyperlink r:id="rId15" w:history="1">
        <w:r w:rsidRPr="000C4834">
          <w:rPr>
            <w:rStyle w:val="Lienhypertexte"/>
            <w:bCs/>
          </w:rPr>
          <w:t>https://home.treasury.gov/policy-issues/financial-sanctions/sanctions-programs-and-country-information</w:t>
        </w:r>
      </w:hyperlink>
      <w:r w:rsidRPr="000C4834">
        <w:rPr>
          <w:bCs/>
        </w:rPr>
        <w:t>;</w:t>
      </w:r>
    </w:p>
    <w:p w14:paraId="262C18BA" w14:textId="77777777" w:rsidR="0055559F" w:rsidRPr="000C4834" w:rsidRDefault="0055559F" w:rsidP="00B06C48">
      <w:pPr>
        <w:numPr>
          <w:ilvl w:val="0"/>
          <w:numId w:val="32"/>
        </w:numPr>
        <w:spacing w:beforeAutospacing="0" w:after="0" w:afterAutospacing="0"/>
        <w:jc w:val="both"/>
        <w:outlineLvl w:val="0"/>
        <w:rPr>
          <w:bCs/>
        </w:rPr>
      </w:pPr>
      <w:proofErr w:type="gramStart"/>
      <w:r w:rsidRPr="000C4834">
        <w:rPr>
          <w:bCs/>
        </w:rPr>
        <w:t>qu’ils</w:t>
      </w:r>
      <w:proofErr w:type="gramEnd"/>
      <w:r w:rsidRPr="000C4834">
        <w:rPr>
          <w:bCs/>
        </w:rPr>
        <w:t xml:space="preserve"> </w:t>
      </w:r>
      <w:r w:rsidR="00B06C48" w:rsidRPr="000C4834">
        <w:rPr>
          <w:bCs/>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6" w:history="1">
        <w:r w:rsidR="00B06C48" w:rsidRPr="000C4834">
          <w:rPr>
            <w:rStyle w:val="Lienhypertexte"/>
            <w:bCs/>
          </w:rPr>
          <w:t>https://www.worldbank.org/en/projects-operations/procurement/debarred-firms</w:t>
        </w:r>
      </w:hyperlink>
      <w:r w:rsidRPr="000C4834">
        <w:rPr>
          <w:bCs/>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3E5527F5" w14:textId="2E58C58D" w:rsidR="0055559F" w:rsidRPr="000C4834" w:rsidRDefault="00B06C48" w:rsidP="000C4834">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8"/>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lastRenderedPageBreak/>
        <w:t>Fait en un seul original, dont l’exemplaire unique conservé par Expertise France.</w:t>
      </w:r>
    </w:p>
    <w:p w14:paraId="51FDEB35" w14:textId="2DBA37CE" w:rsidR="00E74327" w:rsidRDefault="00E74327" w:rsidP="00CF2CE4">
      <w:pPr>
        <w:rPr>
          <w:sz w:val="24"/>
        </w:rPr>
        <w:sectPr w:rsidR="00E74327" w:rsidSect="00FB0AD8">
          <w:headerReference w:type="default" r:id="rId17"/>
          <w:footerReference w:type="even" r:id="rId18"/>
          <w:footerReference w:type="default" r:id="rId19"/>
          <w:headerReference w:type="first" r:id="rId20"/>
          <w:footerReference w:type="first" r:id="rId21"/>
          <w:type w:val="continuous"/>
          <w:pgSz w:w="11906" w:h="16838"/>
          <w:pgMar w:top="1021" w:right="1274" w:bottom="1021" w:left="1588" w:header="720" w:footer="720" w:gutter="0"/>
          <w:cols w:space="720"/>
          <w:titlePg/>
        </w:sectPr>
      </w:pPr>
    </w:p>
    <w:p w14:paraId="4F290112" w14:textId="0A6D212B" w:rsidR="00393A80" w:rsidRPr="00273F95" w:rsidRDefault="00393A80" w:rsidP="00393A80">
      <w:pPr>
        <w:spacing w:after="240"/>
        <w:jc w:val="center"/>
        <w:rPr>
          <w:b/>
          <w:caps/>
          <w:sz w:val="28"/>
        </w:rPr>
      </w:pPr>
      <w:r w:rsidRPr="00273F95">
        <w:rPr>
          <w:b/>
          <w:caps/>
          <w:sz w:val="28"/>
        </w:rPr>
        <w:lastRenderedPageBreak/>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proofErr w:type="gramStart"/>
      <w:r w:rsidRPr="00273F95">
        <w:rPr>
          <w:sz w:val="24"/>
        </w:rPr>
        <w:t>que</w:t>
      </w:r>
      <w:proofErr w:type="gramEnd"/>
      <w:r w:rsidRPr="00273F95">
        <w:rPr>
          <w:sz w:val="24"/>
        </w:rPr>
        <w:t xml:space="preserv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lastRenderedPageBreak/>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9C4031" w:rsidP="001C5A6B">
      <w:pPr>
        <w:spacing w:before="0" w:beforeAutospacing="0" w:after="0" w:afterAutospacing="0"/>
        <w:ind w:left="851"/>
        <w:jc w:val="both"/>
        <w:outlineLvl w:val="0"/>
        <w:rPr>
          <w:bCs/>
          <w:sz w:val="24"/>
        </w:rPr>
      </w:pPr>
      <w:hyperlink r:id="rId22"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lastRenderedPageBreak/>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23E81B1E" w14:textId="1A651FCC" w:rsidR="0085635D" w:rsidRPr="00E626C2" w:rsidRDefault="0085635D" w:rsidP="001C5A6B">
      <w:pPr>
        <w:ind w:left="851" w:hanging="851"/>
        <w:jc w:val="both"/>
        <w:rPr>
          <w:sz w:val="24"/>
        </w:rPr>
      </w:pPr>
      <w:r w:rsidRPr="00E626C2">
        <w:rPr>
          <w:b/>
          <w:noProof/>
          <w:sz w:val="24"/>
        </w:rPr>
        <w:lastRenderedPageBreak/>
        <w:t>II.3.</w:t>
      </w:r>
      <w:r>
        <w:rPr>
          <w:b/>
          <w:noProof/>
          <w:sz w:val="24"/>
        </w:rPr>
        <w:t>4</w:t>
      </w:r>
      <w:r>
        <w:rPr>
          <w:b/>
          <w:noProof/>
          <w:sz w:val="24"/>
        </w:rPr>
        <w:tab/>
      </w:r>
      <w:r w:rsidRPr="0085635D">
        <w:rPr>
          <w:sz w:val="24"/>
        </w:rPr>
        <w:t>Pendant toute la durée du contrat, les règles de sûreté et de sécurité édictées par Expertise France sont applicables au contractant. Celles-ci sont régulièrement mises à jour et lui sont communiquées individuellement par tout moyen approprié. A défaut d’une communication individuelle, Expertise France s’efforce de rendre ces règles accessibles au contractant dès la notification du contrat. En tout état de cause le contractant est réputé avoir pris connaissance des règles de sécurité relatives à l’exercice de sa mission, s’engage à s’y conformer strictement et à prendre régulièrement connaissance des mises à jour.</w:t>
      </w:r>
    </w:p>
    <w:p w14:paraId="12624654" w14:textId="375ECCCC" w:rsidR="00393A80" w:rsidRPr="00AD7976" w:rsidRDefault="00393A80" w:rsidP="001C5A6B">
      <w:pPr>
        <w:ind w:left="851" w:hanging="851"/>
        <w:jc w:val="both"/>
      </w:pPr>
      <w:r w:rsidRPr="00E626C2">
        <w:rPr>
          <w:b/>
          <w:noProof/>
          <w:sz w:val="24"/>
        </w:rPr>
        <w:t>II.3.</w:t>
      </w:r>
      <w:r w:rsidR="0085635D">
        <w:rPr>
          <w:b/>
          <w:noProof/>
          <w:sz w:val="24"/>
        </w:rPr>
        <w:t>5</w:t>
      </w:r>
      <w:r w:rsidRPr="00E626C2">
        <w:rPr>
          <w:sz w:val="24"/>
        </w:rPr>
        <w:tab/>
      </w:r>
      <w:r w:rsidR="00CE3DBF">
        <w:rPr>
          <w:rFonts w:cstheme="minorHAnsi"/>
          <w:sz w:val="24"/>
        </w:rPr>
        <w:t>Le titulaire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A34B7F">
        <w:rPr>
          <w:sz w:val="24"/>
        </w:rPr>
        <w:t xml:space="preserve">. </w:t>
      </w:r>
      <w:r w:rsidR="00CE3DBF">
        <w:rPr>
          <w:rFonts w:cstheme="minorHAnsi"/>
          <w:sz w:val="24"/>
        </w:rPr>
        <w:t>En cas d’incident et/ou d’atteinte directe ou indirecte à la sécurité des personnes mobilisées directement ou indirectement par le titulaire ou de ses équipements, la responsabilité d’Expertise France ne pourra être engagée de quelle que manière que ce soit.</w:t>
      </w:r>
    </w:p>
    <w:p w14:paraId="5F30D1C4" w14:textId="0146853D"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Pr="00E90314">
        <w:rPr>
          <w:sz w:val="24"/>
        </w:rPr>
        <w:tab/>
        <w:t>Le contra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lastRenderedPageBreak/>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lastRenderedPageBreak/>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 xml:space="preserve">La gestion et le suivi du </w:t>
      </w:r>
      <w:proofErr w:type="spellStart"/>
      <w:r w:rsidRPr="00100468">
        <w:rPr>
          <w:sz w:val="24"/>
        </w:rPr>
        <w:t>reporting</w:t>
      </w:r>
      <w:proofErr w:type="spellEnd"/>
      <w:r w:rsidRPr="00100468">
        <w:rPr>
          <w:sz w:val="24"/>
        </w:rPr>
        <w:t xml:space="preserve">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xml:space="preserve">, des ministères et des opérateurs de l'Etat, les bailleurs de fonds, en </w:t>
      </w:r>
      <w:proofErr w:type="gramStart"/>
      <w:r w:rsidR="00454406" w:rsidRPr="00100468">
        <w:rPr>
          <w:sz w:val="24"/>
        </w:rPr>
        <w:t>charge</w:t>
      </w:r>
      <w:proofErr w:type="gramEnd"/>
      <w:r w:rsidR="00454406" w:rsidRPr="00100468">
        <w:rPr>
          <w:sz w:val="24"/>
        </w:rPr>
        <w:t xml:space="preserv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lastRenderedPageBreak/>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w:t>
      </w:r>
      <w:r w:rsidR="00454406" w:rsidRPr="00100468">
        <w:rPr>
          <w:noProof/>
          <w:sz w:val="24"/>
        </w:rPr>
        <w:lastRenderedPageBreak/>
        <w:t xml:space="preserve">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par</w:t>
      </w:r>
      <w:proofErr w:type="gramStart"/>
      <w:r w:rsidRPr="00442D03">
        <w:rPr>
          <w:sz w:val="24"/>
        </w:rPr>
        <w:t xml:space="preserve"> «résultats</w:t>
      </w:r>
      <w:proofErr w:type="gramEnd"/>
      <w:r w:rsidRPr="00442D03">
        <w:rPr>
          <w:sz w:val="24"/>
        </w:rPr>
        <w:t xml:space="preserve">»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2) on entend par</w:t>
      </w:r>
      <w:proofErr w:type="gramStart"/>
      <w:r w:rsidRPr="00E82F2E">
        <w:rPr>
          <w:sz w:val="24"/>
        </w:rPr>
        <w:t xml:space="preserve"> «auteur</w:t>
      </w:r>
      <w:proofErr w:type="gramEnd"/>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w:t>
      </w:r>
      <w:proofErr w:type="gramStart"/>
      <w:r w:rsidRPr="00860F96">
        <w:rPr>
          <w:sz w:val="24"/>
        </w:rPr>
        <w:t xml:space="preserve"> «droits</w:t>
      </w:r>
      <w:proofErr w:type="gramEnd"/>
      <w:r w:rsidRPr="00860F96">
        <w:rPr>
          <w:sz w:val="24"/>
        </w:rPr>
        <w:t xml:space="preserve">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installation</w:t>
      </w:r>
      <w:proofErr w:type="gramEnd"/>
      <w:r w:rsidRPr="00DC221F">
        <w:rPr>
          <w:sz w:val="24"/>
        </w:rPr>
        <w:t>,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arrangement</w:t>
      </w:r>
      <w:proofErr w:type="gramEnd"/>
      <w:r w:rsidRPr="00DC221F">
        <w:rPr>
          <w:sz w:val="24"/>
        </w:rPr>
        <w: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copie</w:t>
      </w:r>
      <w:proofErr w:type="gramEnd"/>
      <w:r w:rsidRPr="00DC221F">
        <w:rPr>
          <w:sz w:val="24"/>
        </w:rPr>
        <w:t>,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radiodiffusion</w:t>
      </w:r>
      <w:proofErr w:type="gramEnd"/>
      <w:r w:rsidRPr="00DC221F">
        <w:rPr>
          <w:sz w:val="24"/>
        </w:rPr>
        <w:t xml:space="preserve">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lastRenderedPageBreak/>
        <w:t>présentation</w:t>
      </w:r>
      <w:proofErr w:type="gramEnd"/>
      <w:r w:rsidRPr="00DC221F">
        <w:rPr>
          <w:sz w:val="24"/>
        </w:rPr>
        <w:t xml:space="preserve">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communication</w:t>
      </w:r>
      <w:proofErr w:type="gramEnd"/>
      <w:r w:rsidRPr="00DC221F">
        <w:rPr>
          <w:sz w:val="24"/>
        </w:rPr>
        <w:t xml:space="preserve">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intégration</w:t>
      </w:r>
      <w:proofErr w:type="gramEnd"/>
      <w:r w:rsidRPr="00DC221F">
        <w:rPr>
          <w:sz w:val="24"/>
        </w:rPr>
        <w:t xml:space="preserve">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autre</w:t>
      </w:r>
      <w:proofErr w:type="gramEnd"/>
      <w:r w:rsidRPr="00DC221F">
        <w:rPr>
          <w:sz w:val="24"/>
        </w:rPr>
        <w:t xml:space="preserv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réalisation</w:t>
      </w:r>
      <w:proofErr w:type="gramEnd"/>
      <w:r w:rsidRPr="00DC221F">
        <w:rPr>
          <w:sz w:val="24"/>
        </w:rPr>
        <w:t xml:space="preserve">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résumé</w:t>
      </w:r>
      <w:proofErr w:type="gramEnd"/>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correction</w:t>
      </w:r>
      <w:proofErr w:type="gramEnd"/>
      <w:r w:rsidRPr="00DC221F">
        <w:rPr>
          <w:sz w:val="24"/>
        </w:rPr>
        <w:t xml:space="preserve">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ajout</w:t>
      </w:r>
      <w:proofErr w:type="gramEnd"/>
      <w:r w:rsidRPr="00DC221F">
        <w:rPr>
          <w:sz w:val="24"/>
        </w:rPr>
        <w:t xml:space="preserve">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modification</w:t>
      </w:r>
      <w:proofErr w:type="gramEnd"/>
      <w:r w:rsidRPr="00DC221F">
        <w:rPr>
          <w:sz w:val="24"/>
        </w:rPr>
        <w:t xml:space="preserve">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fourniture</w:t>
      </w:r>
      <w:proofErr w:type="gramEnd"/>
      <w:r w:rsidRPr="00DC221F">
        <w:rPr>
          <w:sz w:val="24"/>
        </w:rPr>
        <w:t xml:space="preserv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ajout</w:t>
      </w:r>
      <w:proofErr w:type="gramEnd"/>
      <w:r w:rsidRPr="00DC221F">
        <w:rPr>
          <w:sz w:val="24"/>
        </w:rPr>
        <w:t xml:space="preserve">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adaptation</w:t>
      </w:r>
      <w:proofErr w:type="gramEnd"/>
      <w:r w:rsidRPr="00DC221F">
        <w:rPr>
          <w:sz w:val="24"/>
        </w:rPr>
        <w:t xml:space="preserve">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sélection</w:t>
      </w:r>
      <w:proofErr w:type="gramEnd"/>
      <w:r w:rsidRPr="00DC221F">
        <w:rPr>
          <w:sz w:val="24"/>
        </w:rPr>
        <w:t xml:space="preserve">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utilisation</w:t>
      </w:r>
      <w:proofErr w:type="gramEnd"/>
      <w:r w:rsidRPr="00DC221F">
        <w:rPr>
          <w:sz w:val="24"/>
        </w:rPr>
        <w:t xml:space="preserve">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numérisation</w:t>
      </w:r>
      <w:proofErr w:type="gramEnd"/>
      <w:r w:rsidRPr="00DC221F">
        <w:rPr>
          <w:sz w:val="24"/>
        </w:rPr>
        <w:t xml:space="preserve">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traduction</w:t>
      </w:r>
      <w:proofErr w:type="gramEnd"/>
      <w:r w:rsidRPr="00DC221F">
        <w:rPr>
          <w:sz w:val="24"/>
        </w:rPr>
        <w:t>,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anglais</w:t>
      </w:r>
      <w:proofErr w:type="gramEnd"/>
      <w:r w:rsidRPr="00DC221F">
        <w:rPr>
          <w:sz w:val="24"/>
        </w:rPr>
        <w:t>,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toutes</w:t>
      </w:r>
      <w:proofErr w:type="gramEnd"/>
      <w:r w:rsidRPr="00DC221F">
        <w:rPr>
          <w:sz w:val="24"/>
        </w:rPr>
        <w:t xml:space="preserve">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divulgation</w:t>
      </w:r>
      <w:proofErr w:type="gramEnd"/>
      <w:r w:rsidRPr="00DC221F">
        <w:rPr>
          <w:sz w:val="24"/>
        </w:rPr>
        <w:t xml:space="preserve">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stockage</w:t>
      </w:r>
      <w:proofErr w:type="gramEnd"/>
      <w:r w:rsidRPr="00DC221F">
        <w:rPr>
          <w:sz w:val="24"/>
        </w:rPr>
        <w:t xml:space="preserv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archivage</w:t>
      </w:r>
      <w:proofErr w:type="gramEnd"/>
      <w:r w:rsidRPr="00DC221F">
        <w:rPr>
          <w:sz w:val="24"/>
        </w:rPr>
        <w:t xml:space="preserv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w:t>
      </w:r>
      <w:proofErr w:type="gramStart"/>
      <w:r w:rsidRPr="00DC221F">
        <w:rPr>
          <w:sz w:val="24"/>
        </w:rPr>
        <w:t>ce dernier demande</w:t>
      </w:r>
      <w:proofErr w:type="gramEnd"/>
      <w:r w:rsidRPr="00DC221F">
        <w:rPr>
          <w:sz w:val="24"/>
        </w:rPr>
        <w:t xml:space="preserv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w:t>
      </w:r>
      <w:proofErr w:type="gramStart"/>
      <w:r w:rsidRPr="00AD7976">
        <w:rPr>
          <w:sz w:val="24"/>
        </w:rPr>
        <w:t>(«technologies</w:t>
      </w:r>
      <w:proofErr w:type="gramEnd"/>
      <w:r w:rsidRPr="00AD7976">
        <w:rPr>
          <w:sz w:val="24"/>
        </w:rPr>
        <w:t xml:space="preserve">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proofErr w:type="gramStart"/>
      <w:r w:rsidRPr="00267EC1">
        <w:rPr>
          <w:sz w:val="24"/>
        </w:rPr>
        <w:lastRenderedPageBreak/>
        <w:t>l'identification</w:t>
      </w:r>
      <w:proofErr w:type="gramEnd"/>
      <w:r w:rsidRPr="00267EC1">
        <w:rPr>
          <w:sz w:val="24"/>
        </w:rPr>
        <w:t xml:space="preserve">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le</w:t>
      </w:r>
      <w:proofErr w:type="gramEnd"/>
      <w:r w:rsidRPr="00AF57F8">
        <w:rPr>
          <w:sz w:val="24"/>
        </w:rPr>
        <w:t xml:space="preserv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w:t>
      </w:r>
      <w:proofErr w:type="gramStart"/>
      <w:r w:rsidRPr="007F2769">
        <w:rPr>
          <w:sz w:val="24"/>
        </w:rPr>
        <w:t xml:space="preserve"> «force</w:t>
      </w:r>
      <w:proofErr w:type="gramEnd"/>
      <w:r w:rsidRPr="007F2769">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95BE9B4" w:rsidR="00393A80" w:rsidRPr="00050C4C" w:rsidRDefault="000655F1" w:rsidP="00393A80">
      <w:pPr>
        <w:jc w:val="both"/>
        <w:rPr>
          <w:sz w:val="24"/>
        </w:rPr>
      </w:pPr>
      <w:r>
        <w:rPr>
          <w:sz w:val="24"/>
        </w:rPr>
        <w:t>Dans le silence des Clauses Particulières, s</w:t>
      </w:r>
      <w:r w:rsidR="00393A80" w:rsidRPr="00E90314">
        <w:rPr>
          <w:sz w:val="24"/>
        </w:rPr>
        <w:t xml:space="preserve">i le contractant n'exécute pas ses obligations contractuelles dans le délai fixé par le CC ou le bon de commande ou le contrat spécifique correspondant, </w:t>
      </w:r>
      <w:r w:rsidR="00CB2123">
        <w:rPr>
          <w:sz w:val="24"/>
        </w:rPr>
        <w:t>Expertise France</w:t>
      </w:r>
      <w:r w:rsidR="00393A80" w:rsidRPr="00E90314">
        <w:rPr>
          <w:sz w:val="24"/>
        </w:rPr>
        <w:t xml:space="preserve"> peut lui imposer, indépendamment de la responsabilité réelle </w:t>
      </w:r>
      <w:r w:rsidR="00393A80" w:rsidRPr="00E90314">
        <w:rPr>
          <w:sz w:val="24"/>
        </w:rPr>
        <w:lastRenderedPageBreak/>
        <w:t xml:space="preserve">ou potentielle du contractant et du droit </w:t>
      </w:r>
      <w:r w:rsidR="00DD3512">
        <w:rPr>
          <w:sz w:val="24"/>
        </w:rPr>
        <w:t>d’Expertise France</w:t>
      </w:r>
      <w:r w:rsidR="00393A80" w:rsidRPr="00E90314">
        <w:rPr>
          <w:sz w:val="24"/>
        </w:rPr>
        <w:t xml:space="preserve"> de résilier le CC ou le bon de commande ou le contrat spécifique correspondan</w:t>
      </w:r>
      <w:r w:rsidR="00393A80" w:rsidRPr="00267EC1">
        <w:rPr>
          <w:sz w:val="24"/>
        </w:rPr>
        <w:t xml:space="preserve">t, le paiement de </w:t>
      </w:r>
      <w:r w:rsidR="00050C4C" w:rsidRPr="00760DF8">
        <w:rPr>
          <w:sz w:val="24"/>
        </w:rPr>
        <w:t>pénalités</w:t>
      </w:r>
      <w:r w:rsidR="00393A80"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lastRenderedPageBreak/>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 xml:space="preserve">lorsque le contractant est déclaré en état de faillite ou qu'il fait l'objet d'une procédure de mise en liquidation, de règlement judiciaire, de concordat préventif, de cessation </w:t>
      </w:r>
      <w:r w:rsidRPr="006F6F9F">
        <w:rPr>
          <w:sz w:val="24"/>
        </w:rPr>
        <w:lastRenderedPageBreak/>
        <w:t>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2B3B1A3E"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aux règles de sûreté et de sécurité et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w:t>
      </w:r>
      <w:r w:rsidR="00393A80" w:rsidRPr="00A17B8E">
        <w:rPr>
          <w:sz w:val="24"/>
        </w:rPr>
        <w:lastRenderedPageBreak/>
        <w:t xml:space="preserve">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t xml:space="preserve">En l'absence d'acceptation de </w:t>
      </w:r>
      <w:proofErr w:type="gramStart"/>
      <w:r w:rsidRPr="00A17B8E">
        <w:rPr>
          <w:sz w:val="24"/>
        </w:rPr>
        <w:t>ces observations confirmée</w:t>
      </w:r>
      <w:proofErr w:type="gramEnd"/>
      <w:r w:rsidRPr="00A17B8E">
        <w:rPr>
          <w:sz w:val="24"/>
        </w:rPr>
        <w:t xml:space="preserv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lastRenderedPageBreak/>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proofErr w:type="gramStart"/>
      <w:r w:rsidRPr="00740822">
        <w:rPr>
          <w:sz w:val="24"/>
        </w:rPr>
        <w:t>les</w:t>
      </w:r>
      <w:proofErr w:type="gramEnd"/>
      <w:r w:rsidRPr="00740822">
        <w:rPr>
          <w:sz w:val="24"/>
        </w:rPr>
        <w:t xml:space="preserve">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proofErr w:type="gramStart"/>
      <w:r w:rsidRPr="00AD7976">
        <w:rPr>
          <w:sz w:val="24"/>
        </w:rPr>
        <w:t>les</w:t>
      </w:r>
      <w:proofErr w:type="gramEnd"/>
      <w:r w:rsidRPr="00AD7976">
        <w:rPr>
          <w:sz w:val="24"/>
        </w:rPr>
        <w:t xml:space="preserve">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proofErr w:type="gramStart"/>
      <w:r w:rsidRPr="00E90314">
        <w:rPr>
          <w:sz w:val="24"/>
        </w:rPr>
        <w:t>les</w:t>
      </w:r>
      <w:proofErr w:type="gramEnd"/>
      <w:r w:rsidRPr="00E90314">
        <w:rPr>
          <w:sz w:val="24"/>
        </w:rPr>
        <w:t xml:space="preserve">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 xml:space="preserve">Le montant de la garantie de bonne fin ne peut dépasser le montant total du bon de commande </w:t>
      </w:r>
      <w:r w:rsidRPr="00A86A24">
        <w:rPr>
          <w:sz w:val="24"/>
        </w:rPr>
        <w:lastRenderedPageBreak/>
        <w:t>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proofErr w:type="gramStart"/>
      <w:r w:rsidRPr="00A86A24">
        <w:rPr>
          <w:sz w:val="24"/>
        </w:rPr>
        <w:t>la</w:t>
      </w:r>
      <w:proofErr w:type="gramEnd"/>
      <w:r w:rsidRPr="00A86A24">
        <w:rPr>
          <w:sz w:val="24"/>
        </w:rPr>
        <w:t xml:space="preserve">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proofErr w:type="gramStart"/>
      <w:r w:rsidRPr="00A86A24">
        <w:rPr>
          <w:sz w:val="24"/>
        </w:rPr>
        <w:t>le</w:t>
      </w:r>
      <w:proofErr w:type="gramEnd"/>
      <w:r w:rsidRPr="00A86A24">
        <w:rPr>
          <w:sz w:val="24"/>
        </w:rPr>
        <w:t xml:space="preserv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lastRenderedPageBreak/>
        <w:t xml:space="preserve">La suspension prend effet à la date d'envoi de la notification par </w:t>
      </w:r>
      <w:r w:rsidR="00CB2123">
        <w:rPr>
          <w:sz w:val="24"/>
        </w:rPr>
        <w:t>Expertise France</w:t>
      </w:r>
      <w:r w:rsidRPr="00AD7976">
        <w:rPr>
          <w:sz w:val="24"/>
        </w:rPr>
        <w:t>. Le délai de paiement restant recommence à courir à compter de la date de réception des informations demandées ou des documents révisés ou de la réalisation des vérifications complémentaires 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lastRenderedPageBreak/>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lastRenderedPageBreak/>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w:t>
      </w:r>
      <w:proofErr w:type="gramStart"/>
      <w:r w:rsidRPr="00760DF8">
        <w:rPr>
          <w:sz w:val="24"/>
        </w:rPr>
        <w:t>est</w:t>
      </w:r>
      <w:proofErr w:type="gramEnd"/>
      <w:r w:rsidRPr="00760DF8">
        <w:rPr>
          <w:sz w:val="24"/>
        </w:rPr>
        <w:t xml:space="preserve">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w:t>
      </w:r>
      <w:r w:rsidRPr="006A6F4D">
        <w:rPr>
          <w:sz w:val="24"/>
        </w:rPr>
        <w:lastRenderedPageBreak/>
        <w:t xml:space="preserve">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30" o:title=""/>
                </v:shape>
                <o:OLEObject Type="Embed" ProgID="Excel.Sheet.12" ShapeID="_x0000_i1025" DrawAspect="Content" ObjectID="_1824987429" r:id="rId31"/>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CBB43" w14:textId="77777777" w:rsidR="00FA5899" w:rsidRDefault="00FA5899">
      <w:r>
        <w:separator/>
      </w:r>
    </w:p>
  </w:endnote>
  <w:endnote w:type="continuationSeparator" w:id="0">
    <w:p w14:paraId="65F3795F" w14:textId="77777777" w:rsidR="00FA5899" w:rsidRDefault="00FA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C4031" w:rsidRDefault="009C4031"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C4031" w:rsidRDefault="009C40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C4031" w:rsidRPr="00180F28" w:rsidRDefault="009C4031"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5C54CEED" w:rsidR="009C4031" w:rsidRPr="00BA396D" w:rsidRDefault="009C4031"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DE4414">
          <w:rPr>
            <w:rFonts w:ascii="Calibri" w:eastAsia="Times" w:hAnsi="Calibri"/>
            <w:b/>
            <w:bCs/>
            <w:noProof/>
            <w:szCs w:val="20"/>
          </w:rPr>
          <w:t>20</w:t>
        </w:r>
        <w:r w:rsidRPr="00BA396D">
          <w:rPr>
            <w:rFonts w:ascii="Calibri" w:eastAsia="Times" w:hAnsi="Calibri"/>
            <w:b/>
            <w:bCs/>
            <w:szCs w:val="20"/>
          </w:rPr>
          <w:fldChar w:fldCharType="end"/>
        </w:r>
      </w:sdtContent>
    </w:sdt>
  </w:p>
  <w:p w14:paraId="0790D45C" w14:textId="5C0C72AD" w:rsidR="009C4031" w:rsidRPr="00BA396D" w:rsidRDefault="009C4031"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C4031" w:rsidRPr="006E44C4" w:rsidRDefault="009C4031"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7336FD01" w:rsidR="009C4031" w:rsidRPr="006E44C4" w:rsidRDefault="009C4031"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Pr>
                    <w:rFonts w:ascii="Calibri" w:eastAsia="Times" w:hAnsi="Calibri"/>
                    <w:sz w:val="22"/>
                    <w:szCs w:val="22"/>
                  </w:rPr>
                  <w:t>Portage salarial Sénégal</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C55EF1">
                  <w:rPr>
                    <w:rFonts w:ascii="Calibri" w:eastAsia="Times" w:hAnsi="Calibri"/>
                    <w:b/>
                    <w:bCs/>
                    <w:noProof/>
                    <w:sz w:val="22"/>
                    <w:szCs w:val="22"/>
                  </w:rPr>
                  <w:t>1</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C55EF1">
                  <w:rPr>
                    <w:rFonts w:ascii="Calibri" w:eastAsia="Times" w:hAnsi="Calibri"/>
                    <w:b/>
                    <w:bCs/>
                    <w:noProof/>
                    <w:sz w:val="22"/>
                    <w:szCs w:val="22"/>
                  </w:rPr>
                  <w:t>40</w:t>
                </w:r>
                <w:r w:rsidRPr="006E44C4">
                  <w:rPr>
                    <w:rFonts w:ascii="Calibri" w:eastAsia="Times" w:hAnsi="Calibri"/>
                    <w:b/>
                    <w:bCs/>
                    <w:sz w:val="22"/>
                    <w:szCs w:val="22"/>
                  </w:rPr>
                  <w:fldChar w:fldCharType="end"/>
                </w:r>
              </w:sdtContent>
            </w:sdt>
          </w:p>
          <w:p w14:paraId="4D5CCF69" w14:textId="323E73FC" w:rsidR="009C4031" w:rsidRPr="002973F3" w:rsidRDefault="009C4031"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Octobre 2025</w:t>
            </w:r>
          </w:p>
          <w:p w14:paraId="7C8DC8E8" w14:textId="267C8FCE" w:rsidR="009C4031" w:rsidRPr="002973F3" w:rsidRDefault="009C4031"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9C4031" w:rsidRPr="002339BE" w:rsidRDefault="009C4031"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9C4031" w:rsidRDefault="009C4031"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9C4031" w:rsidRDefault="009C4031">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9C4031" w:rsidRPr="00180F28" w:rsidRDefault="009C4031"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469EADBC" w:rsidR="009C4031" w:rsidRPr="00BA396D" w:rsidRDefault="009C4031"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C55EF1">
          <w:rPr>
            <w:rFonts w:ascii="Calibri" w:eastAsia="Times" w:hAnsi="Calibri"/>
            <w:b/>
            <w:bCs/>
            <w:noProof/>
            <w:szCs w:val="20"/>
          </w:rPr>
          <w:t>16</w:t>
        </w:r>
        <w:r w:rsidRPr="00BA396D">
          <w:rPr>
            <w:rFonts w:ascii="Calibri" w:eastAsia="Times" w:hAnsi="Calibri"/>
            <w:b/>
            <w:bCs/>
            <w:szCs w:val="20"/>
          </w:rPr>
          <w:fldChar w:fldCharType="end"/>
        </w:r>
        <w:r w:rsidRPr="00BA396D">
          <w:rPr>
            <w:rFonts w:ascii="Calibri" w:eastAsia="Times" w:hAnsi="Calibri"/>
            <w:szCs w:val="20"/>
          </w:rPr>
          <w:t xml:space="preserve"> sur </w:t>
        </w:r>
        <w:r w:rsidRPr="00BA396D">
          <w:rPr>
            <w:rFonts w:ascii="Calibri" w:eastAsia="Times" w:hAnsi="Calibri"/>
            <w:b/>
            <w:bCs/>
            <w:szCs w:val="20"/>
          </w:rPr>
          <w:fldChar w:fldCharType="begin"/>
        </w:r>
        <w:r w:rsidRPr="00BA396D">
          <w:rPr>
            <w:rFonts w:ascii="Calibri" w:eastAsia="Times" w:hAnsi="Calibri"/>
            <w:b/>
            <w:bCs/>
            <w:szCs w:val="20"/>
          </w:rPr>
          <w:instrText>NUMPAGES</w:instrText>
        </w:r>
        <w:r w:rsidRPr="00BA396D">
          <w:rPr>
            <w:rFonts w:ascii="Calibri" w:eastAsia="Times" w:hAnsi="Calibri"/>
            <w:b/>
            <w:bCs/>
            <w:szCs w:val="20"/>
          </w:rPr>
          <w:fldChar w:fldCharType="separate"/>
        </w:r>
        <w:r w:rsidR="00C55EF1">
          <w:rPr>
            <w:rFonts w:ascii="Calibri" w:eastAsia="Times" w:hAnsi="Calibri"/>
            <w:b/>
            <w:bCs/>
            <w:noProof/>
            <w:szCs w:val="20"/>
          </w:rPr>
          <w:t>40</w:t>
        </w:r>
        <w:r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59CEE" w14:textId="77777777" w:rsidR="00FA5899" w:rsidRDefault="00FA5899">
      <w:r>
        <w:separator/>
      </w:r>
    </w:p>
  </w:footnote>
  <w:footnote w:type="continuationSeparator" w:id="0">
    <w:p w14:paraId="76DA07C3" w14:textId="77777777" w:rsidR="00FA5899" w:rsidRDefault="00FA5899">
      <w:r>
        <w:continuationSeparator/>
      </w:r>
    </w:p>
  </w:footnote>
  <w:footnote w:id="1">
    <w:p w14:paraId="661FAB0E" w14:textId="05034CA9" w:rsidR="009C4031" w:rsidRPr="00096401" w:rsidRDefault="009C4031"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C4031" w:rsidRPr="00A222DB" w:rsidRDefault="009C4031"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C4031" w:rsidRPr="00096401" w:rsidRDefault="009C4031"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C4031" w:rsidRPr="00A222DB" w:rsidRDefault="009C4031"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9C4031" w:rsidRPr="00A222DB" w:rsidRDefault="009C4031"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15D2D1D" w14:textId="77777777" w:rsidR="009C4031" w:rsidRPr="00A222DB" w:rsidRDefault="009C4031"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7">
    <w:p w14:paraId="3BDC8C55" w14:textId="77777777" w:rsidR="009C4031" w:rsidRPr="00A222DB" w:rsidRDefault="009C4031"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8">
    <w:p w14:paraId="0A1C16B6" w14:textId="77777777" w:rsidR="009C4031" w:rsidRPr="00740822" w:rsidRDefault="009C4031"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9">
    <w:p w14:paraId="729FE95B" w14:textId="77777777" w:rsidR="009C4031" w:rsidRPr="00740822" w:rsidRDefault="009C4031"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C4031" w:rsidRDefault="009C4031"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767595761" name="Image 1767595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C4031" w:rsidRPr="00BA396D" w:rsidRDefault="009C4031"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C4031" w:rsidRDefault="009C4031"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77271062" name="Image 7727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9C4031" w:rsidRDefault="009C4031"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9C4031" w:rsidRPr="00BE3789" w:rsidRDefault="009C4031"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9C4031" w:rsidRDefault="009C4031"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C4031" w:rsidRPr="00FD0082" w:rsidRDefault="009C4031"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BE0FB5"/>
    <w:multiLevelType w:val="hybridMultilevel"/>
    <w:tmpl w:val="7A7A3EBC"/>
    <w:lvl w:ilvl="0" w:tplc="6284D0CA">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5"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9003923"/>
    <w:multiLevelType w:val="hybridMultilevel"/>
    <w:tmpl w:val="72547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5B746F"/>
    <w:multiLevelType w:val="hybridMultilevel"/>
    <w:tmpl w:val="1D14E1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5" w15:restartNumberingAfterBreak="0">
    <w:nsid w:val="2B8017EA"/>
    <w:multiLevelType w:val="hybridMultilevel"/>
    <w:tmpl w:val="5BA0685A"/>
    <w:lvl w:ilvl="0" w:tplc="F32C82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1"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D8F5EEA"/>
    <w:multiLevelType w:val="hybridMultilevel"/>
    <w:tmpl w:val="18AA7ACC"/>
    <w:lvl w:ilvl="0" w:tplc="AC6C568A">
      <w:numFmt w:val="bullet"/>
      <w:lvlText w:val="-"/>
      <w:lvlJc w:val="left"/>
      <w:pPr>
        <w:ind w:left="922"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7"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4"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5"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24"/>
  </w:num>
  <w:num w:numId="3">
    <w:abstractNumId w:val="27"/>
  </w:num>
  <w:num w:numId="4">
    <w:abstractNumId w:val="18"/>
  </w:num>
  <w:num w:numId="5">
    <w:abstractNumId w:val="28"/>
  </w:num>
  <w:num w:numId="6">
    <w:abstractNumId w:val="13"/>
  </w:num>
  <w:num w:numId="7">
    <w:abstractNumId w:val="25"/>
  </w:num>
  <w:num w:numId="8">
    <w:abstractNumId w:val="14"/>
  </w:num>
  <w:num w:numId="9">
    <w:abstractNumId w:val="1"/>
  </w:num>
  <w:num w:numId="10">
    <w:abstractNumId w:val="0"/>
  </w:num>
  <w:num w:numId="11">
    <w:abstractNumId w:val="29"/>
  </w:num>
  <w:num w:numId="12">
    <w:abstractNumId w:val="10"/>
  </w:num>
  <w:num w:numId="13">
    <w:abstractNumId w:val="31"/>
  </w:num>
  <w:num w:numId="14">
    <w:abstractNumId w:val="26"/>
  </w:num>
  <w:num w:numId="15">
    <w:abstractNumId w:val="34"/>
  </w:num>
  <w:num w:numId="16">
    <w:abstractNumId w:val="20"/>
  </w:num>
  <w:num w:numId="17">
    <w:abstractNumId w:val="4"/>
  </w:num>
  <w:num w:numId="18">
    <w:abstractNumId w:val="8"/>
  </w:num>
  <w:num w:numId="19">
    <w:abstractNumId w:val="12"/>
  </w:num>
  <w:num w:numId="20">
    <w:abstractNumId w:val="21"/>
  </w:num>
  <w:num w:numId="21">
    <w:abstractNumId w:val="2"/>
  </w:num>
  <w:num w:numId="22">
    <w:abstractNumId w:val="30"/>
  </w:num>
  <w:num w:numId="23">
    <w:abstractNumId w:val="6"/>
  </w:num>
  <w:num w:numId="24">
    <w:abstractNumId w:val="5"/>
  </w:num>
  <w:num w:numId="25">
    <w:abstractNumId w:val="17"/>
  </w:num>
  <w:num w:numId="26">
    <w:abstractNumId w:val="32"/>
  </w:num>
  <w:num w:numId="27">
    <w:abstractNumId w:val="16"/>
  </w:num>
  <w:num w:numId="28">
    <w:abstractNumId w:val="22"/>
  </w:num>
  <w:num w:numId="29">
    <w:abstractNumId w:val="16"/>
  </w:num>
  <w:num w:numId="30">
    <w:abstractNumId w:val="33"/>
  </w:num>
  <w:num w:numId="31">
    <w:abstractNumId w:val="19"/>
  </w:num>
  <w:num w:numId="32">
    <w:abstractNumId w:val="16"/>
  </w:num>
  <w:num w:numId="33">
    <w:abstractNumId w:val="22"/>
  </w:num>
  <w:num w:numId="34">
    <w:abstractNumId w:val="16"/>
  </w:num>
  <w:num w:numId="35">
    <w:abstractNumId w:val="35"/>
  </w:num>
  <w:num w:numId="36">
    <w:abstractNumId w:val="16"/>
  </w:num>
  <w:num w:numId="37">
    <w:abstractNumId w:val="33"/>
  </w:num>
  <w:num w:numId="38">
    <w:abstractNumId w:val="33"/>
  </w:num>
  <w:num w:numId="39">
    <w:abstractNumId w:val="23"/>
  </w:num>
  <w:num w:numId="40">
    <w:abstractNumId w:val="7"/>
  </w:num>
  <w:num w:numId="41">
    <w:abstractNumId w:val="11"/>
  </w:num>
  <w:num w:numId="42">
    <w:abstractNumId w:val="3"/>
  </w:num>
  <w:num w:numId="43">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0C0B"/>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5F1"/>
    <w:rsid w:val="000658B7"/>
    <w:rsid w:val="00065C94"/>
    <w:rsid w:val="00070000"/>
    <w:rsid w:val="0007123B"/>
    <w:rsid w:val="0007154C"/>
    <w:rsid w:val="00071AE1"/>
    <w:rsid w:val="00072255"/>
    <w:rsid w:val="00072C3A"/>
    <w:rsid w:val="000750A9"/>
    <w:rsid w:val="00076FBD"/>
    <w:rsid w:val="000819BC"/>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CE0"/>
    <w:rsid w:val="000A2F66"/>
    <w:rsid w:val="000A4263"/>
    <w:rsid w:val="000A4DBF"/>
    <w:rsid w:val="000A57F3"/>
    <w:rsid w:val="000A58DE"/>
    <w:rsid w:val="000A647A"/>
    <w:rsid w:val="000A7C73"/>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834"/>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1A2F"/>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1A05"/>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488"/>
    <w:rsid w:val="002262CD"/>
    <w:rsid w:val="00226436"/>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6EFD"/>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2F5"/>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5C4"/>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38AE"/>
    <w:rsid w:val="00576989"/>
    <w:rsid w:val="00576A70"/>
    <w:rsid w:val="00576D3E"/>
    <w:rsid w:val="00577F84"/>
    <w:rsid w:val="00582CED"/>
    <w:rsid w:val="00583DE2"/>
    <w:rsid w:val="00584AE8"/>
    <w:rsid w:val="00590956"/>
    <w:rsid w:val="00591BF7"/>
    <w:rsid w:val="00592530"/>
    <w:rsid w:val="005927BA"/>
    <w:rsid w:val="00593706"/>
    <w:rsid w:val="005940B5"/>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3E67"/>
    <w:rsid w:val="006246F0"/>
    <w:rsid w:val="006247D7"/>
    <w:rsid w:val="0062545A"/>
    <w:rsid w:val="006273D6"/>
    <w:rsid w:val="0063026F"/>
    <w:rsid w:val="0063088F"/>
    <w:rsid w:val="0063144F"/>
    <w:rsid w:val="00632E22"/>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149D"/>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0903"/>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864"/>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0A6"/>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61C"/>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50D"/>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1CBE"/>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E62"/>
    <w:rsid w:val="00946028"/>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4031"/>
    <w:rsid w:val="009C67CD"/>
    <w:rsid w:val="009C76BF"/>
    <w:rsid w:val="009D080A"/>
    <w:rsid w:val="009D3188"/>
    <w:rsid w:val="009D3C61"/>
    <w:rsid w:val="009D4D15"/>
    <w:rsid w:val="009D5491"/>
    <w:rsid w:val="009D71E4"/>
    <w:rsid w:val="009D7BE9"/>
    <w:rsid w:val="009E0011"/>
    <w:rsid w:val="009E03E2"/>
    <w:rsid w:val="009E0AF1"/>
    <w:rsid w:val="009E1709"/>
    <w:rsid w:val="009E359D"/>
    <w:rsid w:val="009E5CB9"/>
    <w:rsid w:val="009F276E"/>
    <w:rsid w:val="009F3D27"/>
    <w:rsid w:val="009F41E8"/>
    <w:rsid w:val="009F433C"/>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0E9E"/>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5CF"/>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AAA"/>
    <w:rsid w:val="00AB0E63"/>
    <w:rsid w:val="00AB0F4A"/>
    <w:rsid w:val="00AB1370"/>
    <w:rsid w:val="00AB1986"/>
    <w:rsid w:val="00AB1C9A"/>
    <w:rsid w:val="00AB2410"/>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5F07"/>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538"/>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5EF1"/>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6D"/>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4414"/>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47E8"/>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1981"/>
    <w:rsid w:val="00E2201F"/>
    <w:rsid w:val="00E244B8"/>
    <w:rsid w:val="00E24F4E"/>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1A13"/>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7045A"/>
    <w:rsid w:val="00E71295"/>
    <w:rsid w:val="00E715BF"/>
    <w:rsid w:val="00E71F5D"/>
    <w:rsid w:val="00E71F97"/>
    <w:rsid w:val="00E7353B"/>
    <w:rsid w:val="00E73607"/>
    <w:rsid w:val="00E74327"/>
    <w:rsid w:val="00E76E57"/>
    <w:rsid w:val="00E802DE"/>
    <w:rsid w:val="00E803B7"/>
    <w:rsid w:val="00E82911"/>
    <w:rsid w:val="00E82F2E"/>
    <w:rsid w:val="00E83E33"/>
    <w:rsid w:val="00E840AD"/>
    <w:rsid w:val="00E853F8"/>
    <w:rsid w:val="00E87B66"/>
    <w:rsid w:val="00E87BB2"/>
    <w:rsid w:val="00E900B5"/>
    <w:rsid w:val="00E90314"/>
    <w:rsid w:val="00E90741"/>
    <w:rsid w:val="00E908EB"/>
    <w:rsid w:val="00E9175B"/>
    <w:rsid w:val="00E92402"/>
    <w:rsid w:val="00E9243B"/>
    <w:rsid w:val="00E931C4"/>
    <w:rsid w:val="00E9473A"/>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96C"/>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71"/>
    <w:rsid w:val="00F9678D"/>
    <w:rsid w:val="00F96B14"/>
    <w:rsid w:val="00FA084C"/>
    <w:rsid w:val="00FA2026"/>
    <w:rsid w:val="00FA2436"/>
    <w:rsid w:val="00FA41E1"/>
    <w:rsid w:val="00FA54BA"/>
    <w:rsid w:val="00FA5899"/>
    <w:rsid w:val="00FA5A75"/>
    <w:rsid w:val="00FA718A"/>
    <w:rsid w:val="00FA7CCD"/>
    <w:rsid w:val="00FB0270"/>
    <w:rsid w:val="00FB0AD8"/>
    <w:rsid w:val="00FB3AD6"/>
    <w:rsid w:val="00FB3F7D"/>
    <w:rsid w:val="00FC018E"/>
    <w:rsid w:val="00FC0B78"/>
    <w:rsid w:val="00FC0BC7"/>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Rvision">
    <w:name w:val="Revision"/>
    <w:hidden/>
    <w:uiPriority w:val="99"/>
    <w:semiHidden/>
    <w:rsid w:val="00946028"/>
  </w:style>
  <w:style w:type="character" w:customStyle="1" w:styleId="Mentionnonrsolue1">
    <w:name w:val="Mention non résolue1"/>
    <w:basedOn w:val="Policepardfaut"/>
    <w:uiPriority w:val="99"/>
    <w:semiHidden/>
    <w:unhideWhenUsed/>
    <w:rsid w:val="00FC0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219559620">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490439340">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0880811">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mailto:informatique.libertes@expertisefrance.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www.expertisefrance.fr"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header" Target="header4.xml"/><Relationship Id="rId10" Type="http://schemas.openxmlformats.org/officeDocument/2006/relationships/hyperlink" Target="mailto:haoudjati.oussoufa@expertisefrance.fr" TargetMode="External"/><Relationship Id="rId19" Type="http://schemas.openxmlformats.org/officeDocument/2006/relationships/footer" Target="footer2.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04B5EE82-CD23-4AAF-8DE9-E539DF6A9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40</Pages>
  <Words>12246</Words>
  <Characters>67355</Characters>
  <Application>Microsoft Office Word</Application>
  <DocSecurity>0</DocSecurity>
  <Lines>561</Lines>
  <Paragraphs>158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79443</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Irvika LEDAGA</cp:lastModifiedBy>
  <cp:revision>6</cp:revision>
  <cp:lastPrinted>2016-12-12T14:17:00Z</cp:lastPrinted>
  <dcterms:created xsi:type="dcterms:W3CDTF">2025-10-17T12:06:00Z</dcterms:created>
  <dcterms:modified xsi:type="dcterms:W3CDTF">2025-11-18T15:10:00Z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